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3453" w14:textId="77777777" w:rsidR="006F58FD" w:rsidRPr="00103435" w:rsidRDefault="006F58FD" w:rsidP="006F58FD">
      <w:pPr>
        <w:jc w:val="center"/>
        <w:rPr>
          <w:rFonts w:ascii="Garamond" w:eastAsia="Times New Roman" w:hAnsi="Garamond" w:cstheme="minorHAnsi"/>
          <w:noProof/>
          <w:sz w:val="16"/>
          <w:szCs w:val="16"/>
        </w:rPr>
      </w:pPr>
    </w:p>
    <w:p w14:paraId="78683B1A" w14:textId="77777777" w:rsidR="006F58FD" w:rsidRPr="00103435" w:rsidRDefault="006F58FD" w:rsidP="006F58FD">
      <w:pPr>
        <w:jc w:val="center"/>
        <w:rPr>
          <w:rFonts w:ascii="Garamond" w:hAnsi="Garamond" w:cs="Arial"/>
          <w:b/>
          <w:sz w:val="21"/>
          <w:szCs w:val="21"/>
        </w:rPr>
      </w:pPr>
    </w:p>
    <w:p w14:paraId="689A6ECC" w14:textId="387E0D6C" w:rsidR="00C322A8" w:rsidRPr="00103435" w:rsidRDefault="00103435" w:rsidP="00103435">
      <w:pPr>
        <w:spacing w:line="360" w:lineRule="auto"/>
        <w:jc w:val="right"/>
        <w:rPr>
          <w:rFonts w:ascii="Garamond" w:hAnsi="Garamond" w:cs="Arial"/>
          <w:sz w:val="21"/>
          <w:szCs w:val="21"/>
          <w:lang w:val="it-IT"/>
        </w:rPr>
      </w:pPr>
      <w:r w:rsidRPr="00103435">
        <w:rPr>
          <w:rFonts w:ascii="Garamond" w:hAnsi="Garamond" w:cs="Arial"/>
          <w:sz w:val="21"/>
          <w:szCs w:val="21"/>
          <w:lang w:val="it-IT"/>
        </w:rPr>
        <w:t>Spett.le</w:t>
      </w:r>
    </w:p>
    <w:p w14:paraId="07997E5A" w14:textId="7226168A" w:rsidR="00C322A8" w:rsidRPr="00E80EA9" w:rsidRDefault="00103435" w:rsidP="00103435">
      <w:pPr>
        <w:spacing w:line="360" w:lineRule="auto"/>
        <w:jc w:val="right"/>
        <w:rPr>
          <w:rFonts w:ascii="Garamond" w:hAnsi="Garamond" w:cs="Arial"/>
          <w:b/>
          <w:bCs/>
          <w:szCs w:val="24"/>
          <w:lang w:val="it-IT"/>
        </w:rPr>
      </w:pPr>
      <w:r w:rsidRPr="00E80EA9">
        <w:rPr>
          <w:rFonts w:ascii="Garamond" w:hAnsi="Garamond" w:cs="Arial"/>
          <w:b/>
          <w:bCs/>
          <w:szCs w:val="24"/>
          <w:lang w:val="it-IT"/>
        </w:rPr>
        <w:t>Consorzio per lo Sviluppo Industriale Isernia-Venafro</w:t>
      </w:r>
    </w:p>
    <w:p w14:paraId="7762042C" w14:textId="2344C06D" w:rsidR="00335994" w:rsidRPr="00E80EA9" w:rsidRDefault="00103435" w:rsidP="00103435">
      <w:pPr>
        <w:tabs>
          <w:tab w:val="left" w:pos="2600"/>
        </w:tabs>
        <w:spacing w:after="200" w:line="360" w:lineRule="auto"/>
        <w:jc w:val="right"/>
        <w:rPr>
          <w:rFonts w:ascii="Garamond" w:hAnsi="Garamond" w:cs="Arial"/>
          <w:szCs w:val="24"/>
          <w:lang w:val="it-IT"/>
        </w:rPr>
      </w:pPr>
      <w:r w:rsidRPr="00E80EA9">
        <w:rPr>
          <w:rFonts w:ascii="Garamond" w:hAnsi="Garamond" w:cs="Arial"/>
          <w:szCs w:val="24"/>
          <w:lang w:val="it-IT"/>
        </w:rPr>
        <w:t xml:space="preserve">Viale delle Industrie, Agglomerato industriale di Pozzilli </w:t>
      </w:r>
      <w:r w:rsidRPr="00E80EA9">
        <w:rPr>
          <w:rFonts w:ascii="Garamond" w:hAnsi="Garamond" w:cs="Arial"/>
          <w:szCs w:val="24"/>
          <w:lang w:val="it-IT"/>
        </w:rPr>
        <w:br/>
        <w:t xml:space="preserve"> - 86077 - POZZILLI (IS)</w:t>
      </w:r>
      <w:r w:rsidRPr="00E80EA9">
        <w:rPr>
          <w:rFonts w:ascii="Garamond" w:hAnsi="Garamond" w:cs="Arial"/>
          <w:szCs w:val="24"/>
          <w:lang w:val="it-IT"/>
        </w:rPr>
        <w:br/>
      </w:r>
      <w:proofErr w:type="spellStart"/>
      <w:r w:rsidRPr="00E80EA9">
        <w:rPr>
          <w:rFonts w:ascii="Garamond" w:hAnsi="Garamond" w:cs="Arial"/>
          <w:szCs w:val="24"/>
          <w:lang w:val="it-IT"/>
        </w:rPr>
        <w:t>pec</w:t>
      </w:r>
      <w:proofErr w:type="spellEnd"/>
      <w:r w:rsidRPr="00E80EA9">
        <w:rPr>
          <w:rFonts w:ascii="Garamond" w:hAnsi="Garamond" w:cs="Arial"/>
          <w:szCs w:val="24"/>
          <w:lang w:val="it-IT"/>
        </w:rPr>
        <w:t>: consorzioindustrialeiserniavenafro@pec.it</w:t>
      </w:r>
    </w:p>
    <w:p w14:paraId="34EC96C8" w14:textId="77777777" w:rsidR="00103435" w:rsidRPr="007E34FA" w:rsidRDefault="00103435" w:rsidP="00103435">
      <w:pPr>
        <w:tabs>
          <w:tab w:val="left" w:pos="2600"/>
        </w:tabs>
        <w:spacing w:after="200"/>
        <w:jc w:val="right"/>
        <w:rPr>
          <w:rFonts w:ascii="Garamond" w:hAnsi="Garamond" w:cs="Arial"/>
          <w:b/>
          <w:sz w:val="21"/>
          <w:szCs w:val="21"/>
          <w:lang w:val="it-IT"/>
        </w:rPr>
      </w:pPr>
    </w:p>
    <w:p w14:paraId="4D5CB7A1" w14:textId="3E00D7D4" w:rsidR="00893B96" w:rsidRPr="007E34FA" w:rsidRDefault="00103435" w:rsidP="00893B96">
      <w:pPr>
        <w:spacing w:after="200"/>
        <w:jc w:val="center"/>
        <w:rPr>
          <w:rFonts w:ascii="Garamond" w:eastAsia="Times New Roman" w:hAnsi="Garamond" w:cs="Arial"/>
          <w:b/>
          <w:bCs/>
          <w:lang w:val="it-IT"/>
        </w:rPr>
      </w:pPr>
      <w:r>
        <w:rPr>
          <w:rFonts w:ascii="Garamond" w:eastAsia="Times New Roman" w:hAnsi="Garamond" w:cs="Arial"/>
          <w:b/>
          <w:bCs/>
          <w:szCs w:val="24"/>
          <w:lang w:val="it-IT"/>
        </w:rPr>
        <w:t>D</w:t>
      </w:r>
      <w:r w:rsidR="001D1B69" w:rsidRPr="007E34FA">
        <w:rPr>
          <w:rFonts w:ascii="Garamond" w:eastAsia="Times New Roman" w:hAnsi="Garamond" w:cs="Arial"/>
          <w:b/>
          <w:bCs/>
          <w:szCs w:val="24"/>
          <w:lang w:val="it-IT"/>
        </w:rPr>
        <w:t>isponibilità Commissario Gara di Appalto</w:t>
      </w:r>
      <w:r w:rsidR="006F58FD" w:rsidRPr="007E34FA">
        <w:rPr>
          <w:rFonts w:ascii="Garamond" w:eastAsia="Times New Roman" w:hAnsi="Garamond" w:cs="Arial"/>
          <w:b/>
          <w:bCs/>
          <w:szCs w:val="24"/>
          <w:lang w:val="it-IT"/>
        </w:rPr>
        <w:t>.</w:t>
      </w:r>
    </w:p>
    <w:tbl>
      <w:tblPr>
        <w:tblStyle w:val="Grigliatabella"/>
        <w:tblW w:w="10094" w:type="dxa"/>
        <w:tblInd w:w="-34" w:type="dxa"/>
        <w:tblLook w:val="04A0" w:firstRow="1" w:lastRow="0" w:firstColumn="1" w:lastColumn="0" w:noHBand="0" w:noVBand="1"/>
      </w:tblPr>
      <w:tblGrid>
        <w:gridCol w:w="2410"/>
        <w:gridCol w:w="7684"/>
      </w:tblGrid>
      <w:tr w:rsidR="006F58FD" w:rsidRPr="008C2E1E" w14:paraId="431A9706" w14:textId="77777777" w:rsidTr="001B7D06">
        <w:tc>
          <w:tcPr>
            <w:tcW w:w="2410" w:type="dxa"/>
            <w:vAlign w:val="center"/>
          </w:tcPr>
          <w:p w14:paraId="19DF8EA2" w14:textId="77777777" w:rsidR="006F58FD" w:rsidRPr="007E34FA" w:rsidRDefault="006F58FD" w:rsidP="001B7D06">
            <w:pPr>
              <w:tabs>
                <w:tab w:val="left" w:pos="2600"/>
              </w:tabs>
              <w:spacing w:after="200"/>
              <w:rPr>
                <w:rFonts w:ascii="Garamond" w:hAnsi="Garamond" w:cs="Arial"/>
                <w:b/>
                <w:sz w:val="21"/>
                <w:szCs w:val="21"/>
              </w:rPr>
            </w:pPr>
            <w:proofErr w:type="spellStart"/>
            <w:r w:rsidRPr="007E34FA">
              <w:rPr>
                <w:rFonts w:ascii="Garamond" w:hAnsi="Garamond" w:cs="Arial"/>
                <w:b/>
                <w:sz w:val="21"/>
                <w:szCs w:val="21"/>
              </w:rPr>
              <w:t>Oggetto</w:t>
            </w:r>
            <w:proofErr w:type="spellEnd"/>
          </w:p>
        </w:tc>
        <w:tc>
          <w:tcPr>
            <w:tcW w:w="7684" w:type="dxa"/>
            <w:vAlign w:val="center"/>
          </w:tcPr>
          <w:p w14:paraId="306F9101" w14:textId="304DA65C" w:rsidR="006F58FD" w:rsidRPr="00093CF3" w:rsidRDefault="00093CF3" w:rsidP="001B7D06">
            <w:pPr>
              <w:tabs>
                <w:tab w:val="left" w:pos="2600"/>
              </w:tabs>
              <w:spacing w:after="200"/>
              <w:jc w:val="both"/>
              <w:rPr>
                <w:rFonts w:ascii="Garamond" w:hAnsi="Garamond" w:cs="Arial"/>
                <w:sz w:val="21"/>
                <w:szCs w:val="21"/>
                <w:lang w:val="it-IT"/>
              </w:rPr>
            </w:pPr>
            <w:r>
              <w:rPr>
                <w:rFonts w:ascii="Garamond" w:hAnsi="Garamond" w:cs="Arial"/>
                <w:noProof/>
                <w:sz w:val="21"/>
                <w:szCs w:val="21"/>
                <w:lang w:val="it-IT"/>
              </w:rPr>
              <w:t>Individuazione commissioni per valutazione progetti finanziati nell’ambito dell’</w:t>
            </w:r>
            <w:r w:rsidRPr="00093CF3">
              <w:rPr>
                <w:rFonts w:ascii="Garamond" w:hAnsi="Garamond" w:cs="Arial"/>
                <w:noProof/>
                <w:sz w:val="21"/>
                <w:szCs w:val="21"/>
                <w:lang w:val="it-IT"/>
              </w:rPr>
              <w:t>“Area di crisi - miglioramento infrastrutture zone industriali, logistica svincoli o situazioni particolari AI e PIP”, risorse del FSC 2014-2020, di cui alle D.G.R. n. 456 del 25 novembre 2019, n. 219 del 02 luglio 2020 e n. 179 del 17 giugno 2021</w:t>
            </w:r>
          </w:p>
        </w:tc>
      </w:tr>
      <w:tr w:rsidR="006F58FD" w:rsidRPr="007E34FA" w14:paraId="73C0BEB2" w14:textId="77777777" w:rsidTr="001B7D06">
        <w:tc>
          <w:tcPr>
            <w:tcW w:w="2410" w:type="dxa"/>
            <w:vAlign w:val="center"/>
          </w:tcPr>
          <w:p w14:paraId="1B557CE0" w14:textId="5657A36B" w:rsidR="006F58FD" w:rsidRPr="007E34FA" w:rsidRDefault="006F58FD" w:rsidP="001B7D06">
            <w:pPr>
              <w:tabs>
                <w:tab w:val="left" w:pos="2600"/>
              </w:tabs>
              <w:spacing w:after="200"/>
              <w:rPr>
                <w:rFonts w:ascii="Garamond" w:hAnsi="Garamond" w:cs="Arial"/>
                <w:b/>
                <w:sz w:val="21"/>
                <w:szCs w:val="21"/>
              </w:rPr>
            </w:pPr>
            <w:proofErr w:type="spellStart"/>
            <w:r w:rsidRPr="007E34FA">
              <w:rPr>
                <w:rFonts w:ascii="Garamond" w:hAnsi="Garamond" w:cs="Arial"/>
                <w:b/>
                <w:sz w:val="21"/>
                <w:szCs w:val="21"/>
              </w:rPr>
              <w:t>Import</w:t>
            </w:r>
            <w:r w:rsidR="00093CF3">
              <w:rPr>
                <w:rFonts w:ascii="Garamond" w:hAnsi="Garamond" w:cs="Arial"/>
                <w:b/>
                <w:sz w:val="21"/>
                <w:szCs w:val="21"/>
              </w:rPr>
              <w:t>i</w:t>
            </w:r>
            <w:proofErr w:type="spellEnd"/>
            <w:r w:rsidR="00093CF3">
              <w:rPr>
                <w:rFonts w:ascii="Garamond" w:hAnsi="Garamond" w:cs="Arial"/>
                <w:b/>
                <w:sz w:val="21"/>
                <w:szCs w:val="21"/>
              </w:rPr>
              <w:t xml:space="preserve"> </w:t>
            </w:r>
            <w:r w:rsidRPr="007E34FA">
              <w:rPr>
                <w:rFonts w:ascii="Garamond" w:hAnsi="Garamond" w:cs="Arial"/>
                <w:b/>
                <w:sz w:val="21"/>
                <w:szCs w:val="21"/>
              </w:rPr>
              <w:t xml:space="preserve">a base </w:t>
            </w:r>
            <w:proofErr w:type="spellStart"/>
            <w:r w:rsidRPr="007E34FA">
              <w:rPr>
                <w:rFonts w:ascii="Garamond" w:hAnsi="Garamond" w:cs="Arial"/>
                <w:b/>
                <w:sz w:val="21"/>
                <w:szCs w:val="21"/>
              </w:rPr>
              <w:t>d’asta</w:t>
            </w:r>
            <w:proofErr w:type="spellEnd"/>
          </w:p>
        </w:tc>
        <w:tc>
          <w:tcPr>
            <w:tcW w:w="7684" w:type="dxa"/>
            <w:vAlign w:val="center"/>
          </w:tcPr>
          <w:p w14:paraId="39A46B9A" w14:textId="2FD0B8AE" w:rsidR="006F58FD" w:rsidRPr="007E34FA" w:rsidRDefault="00093CF3" w:rsidP="001B7D06">
            <w:pPr>
              <w:tabs>
                <w:tab w:val="left" w:pos="2600"/>
              </w:tabs>
              <w:spacing w:after="200"/>
              <w:jc w:val="both"/>
              <w:rPr>
                <w:rFonts w:ascii="Garamond" w:hAnsi="Garamond" w:cs="Arial"/>
                <w:b/>
                <w:sz w:val="21"/>
                <w:szCs w:val="21"/>
              </w:rPr>
            </w:pPr>
            <w:r>
              <w:rPr>
                <w:rFonts w:ascii="Garamond" w:hAnsi="Garamond" w:cs="Arial"/>
                <w:noProof/>
                <w:sz w:val="21"/>
                <w:szCs w:val="21"/>
              </w:rPr>
              <w:t>Inferiori alla soglia comunitaria</w:t>
            </w:r>
          </w:p>
        </w:tc>
      </w:tr>
      <w:tr w:rsidR="006F58FD" w:rsidRPr="00FF63C4" w14:paraId="02941D27" w14:textId="77777777" w:rsidTr="001B7D06">
        <w:tc>
          <w:tcPr>
            <w:tcW w:w="2410" w:type="dxa"/>
            <w:vAlign w:val="center"/>
          </w:tcPr>
          <w:p w14:paraId="4460A501" w14:textId="77777777" w:rsidR="006F58FD" w:rsidRPr="007E34FA" w:rsidRDefault="006F58FD" w:rsidP="001B7D06">
            <w:pPr>
              <w:tabs>
                <w:tab w:val="left" w:pos="2600"/>
              </w:tabs>
              <w:spacing w:after="200"/>
              <w:rPr>
                <w:rFonts w:ascii="Garamond" w:hAnsi="Garamond" w:cs="Arial"/>
                <w:b/>
                <w:sz w:val="21"/>
                <w:szCs w:val="21"/>
              </w:rPr>
            </w:pPr>
            <w:proofErr w:type="spellStart"/>
            <w:r w:rsidRPr="007E34FA">
              <w:rPr>
                <w:rFonts w:ascii="Garamond" w:hAnsi="Garamond" w:cs="Arial"/>
                <w:b/>
                <w:sz w:val="21"/>
                <w:szCs w:val="21"/>
              </w:rPr>
              <w:t>Scelta</w:t>
            </w:r>
            <w:proofErr w:type="spellEnd"/>
            <w:r w:rsidRPr="007E34FA">
              <w:rPr>
                <w:rFonts w:ascii="Garamond" w:hAnsi="Garamond" w:cs="Arial"/>
                <w:b/>
                <w:sz w:val="21"/>
                <w:szCs w:val="21"/>
              </w:rPr>
              <w:t xml:space="preserve"> del </w:t>
            </w:r>
            <w:proofErr w:type="spellStart"/>
            <w:r w:rsidRPr="007E34FA">
              <w:rPr>
                <w:rFonts w:ascii="Garamond" w:hAnsi="Garamond" w:cs="Arial"/>
                <w:b/>
                <w:sz w:val="21"/>
                <w:szCs w:val="21"/>
              </w:rPr>
              <w:t>contraente</w:t>
            </w:r>
            <w:proofErr w:type="spellEnd"/>
          </w:p>
        </w:tc>
        <w:tc>
          <w:tcPr>
            <w:tcW w:w="7684" w:type="dxa"/>
            <w:vAlign w:val="center"/>
          </w:tcPr>
          <w:p w14:paraId="4AA6F865" w14:textId="57535E0F" w:rsidR="006F58FD" w:rsidRPr="007E34FA" w:rsidRDefault="006F58FD" w:rsidP="001B7D06">
            <w:pPr>
              <w:tabs>
                <w:tab w:val="left" w:pos="2600"/>
              </w:tabs>
              <w:spacing w:after="200"/>
              <w:jc w:val="both"/>
              <w:rPr>
                <w:rFonts w:ascii="Garamond" w:hAnsi="Garamond" w:cs="Arial"/>
                <w:b/>
                <w:sz w:val="21"/>
                <w:szCs w:val="21"/>
                <w:lang w:val="it-IT"/>
              </w:rPr>
            </w:pPr>
            <w:r w:rsidRPr="007E34FA">
              <w:rPr>
                <w:rFonts w:ascii="Garamond" w:hAnsi="Garamond" w:cs="Arial"/>
                <w:noProof/>
                <w:sz w:val="21"/>
                <w:szCs w:val="21"/>
                <w:lang w:val="it-IT"/>
              </w:rPr>
              <w:t>Procedur</w:t>
            </w:r>
            <w:r w:rsidR="00093CF3">
              <w:rPr>
                <w:rFonts w:ascii="Garamond" w:hAnsi="Garamond" w:cs="Arial"/>
                <w:noProof/>
                <w:sz w:val="21"/>
                <w:szCs w:val="21"/>
                <w:lang w:val="it-IT"/>
              </w:rPr>
              <w:t>e aperte</w:t>
            </w:r>
          </w:p>
        </w:tc>
      </w:tr>
      <w:tr w:rsidR="006F58FD" w:rsidRPr="007E34FA" w14:paraId="74CC13A7" w14:textId="77777777" w:rsidTr="001B7D06">
        <w:tc>
          <w:tcPr>
            <w:tcW w:w="2410" w:type="dxa"/>
            <w:vAlign w:val="center"/>
          </w:tcPr>
          <w:p w14:paraId="4BC799CD" w14:textId="77777777" w:rsidR="006F58FD" w:rsidRPr="007E34FA" w:rsidRDefault="006F58FD" w:rsidP="001B7D06">
            <w:pPr>
              <w:tabs>
                <w:tab w:val="left" w:pos="2600"/>
              </w:tabs>
              <w:spacing w:after="200"/>
              <w:rPr>
                <w:rFonts w:ascii="Garamond" w:hAnsi="Garamond" w:cs="Arial"/>
                <w:b/>
                <w:sz w:val="21"/>
                <w:szCs w:val="21"/>
              </w:rPr>
            </w:pPr>
            <w:proofErr w:type="spellStart"/>
            <w:r w:rsidRPr="007E34FA">
              <w:rPr>
                <w:rFonts w:ascii="Garamond" w:hAnsi="Garamond" w:cs="Arial"/>
                <w:b/>
                <w:sz w:val="21"/>
                <w:szCs w:val="21"/>
              </w:rPr>
              <w:t>Modalità</w:t>
            </w:r>
            <w:proofErr w:type="spellEnd"/>
          </w:p>
        </w:tc>
        <w:tc>
          <w:tcPr>
            <w:tcW w:w="7684" w:type="dxa"/>
            <w:vAlign w:val="center"/>
          </w:tcPr>
          <w:p w14:paraId="43642AD5" w14:textId="77777777" w:rsidR="006F58FD" w:rsidRPr="007E34FA" w:rsidRDefault="006F58FD" w:rsidP="001B7D06">
            <w:pPr>
              <w:tabs>
                <w:tab w:val="left" w:pos="2600"/>
              </w:tabs>
              <w:spacing w:after="200"/>
              <w:jc w:val="both"/>
              <w:rPr>
                <w:rFonts w:ascii="Garamond" w:hAnsi="Garamond" w:cs="Arial"/>
                <w:noProof/>
                <w:sz w:val="21"/>
                <w:szCs w:val="21"/>
              </w:rPr>
            </w:pPr>
            <w:r w:rsidRPr="007E34FA">
              <w:rPr>
                <w:rFonts w:ascii="Garamond" w:hAnsi="Garamond" w:cs="Arial"/>
                <w:noProof/>
                <w:sz w:val="21"/>
                <w:szCs w:val="21"/>
              </w:rPr>
              <w:t>TELEMATICA</w:t>
            </w:r>
          </w:p>
        </w:tc>
      </w:tr>
    </w:tbl>
    <w:p w14:paraId="739579F3" w14:textId="77777777" w:rsidR="00F016C7" w:rsidRPr="007E34FA" w:rsidRDefault="00F016C7" w:rsidP="002F1C11">
      <w:pPr>
        <w:tabs>
          <w:tab w:val="left" w:pos="2600"/>
        </w:tabs>
        <w:spacing w:after="200"/>
        <w:jc w:val="both"/>
        <w:rPr>
          <w:rFonts w:ascii="Garamond" w:hAnsi="Garamond" w:cs="Arial"/>
          <w:b/>
          <w:sz w:val="21"/>
          <w:szCs w:val="21"/>
        </w:rPr>
      </w:pPr>
    </w:p>
    <w:p w14:paraId="3A510ED3" w14:textId="10C7988B" w:rsidR="00A8451E" w:rsidRDefault="007E34FA" w:rsidP="00091569">
      <w:pPr>
        <w:tabs>
          <w:tab w:val="left" w:pos="2600"/>
        </w:tabs>
        <w:spacing w:after="200" w:line="360" w:lineRule="auto"/>
        <w:contextualSpacing/>
        <w:jc w:val="both"/>
        <w:rPr>
          <w:rFonts w:ascii="Garamond" w:hAnsi="Garamond" w:cs="Arial"/>
          <w:noProof/>
          <w:szCs w:val="24"/>
          <w:lang w:val="it-IT"/>
        </w:rPr>
      </w:pPr>
      <w:r w:rsidRPr="00103435">
        <w:rPr>
          <w:rFonts w:ascii="Garamond" w:hAnsi="Garamond" w:cs="Arial"/>
          <w:noProof/>
          <w:szCs w:val="24"/>
          <w:lang w:val="it-IT"/>
        </w:rPr>
        <w:t xml:space="preserve">Il sottoscritto </w:t>
      </w:r>
      <w:r w:rsidR="00093CF3">
        <w:rPr>
          <w:rFonts w:ascii="Garamond" w:hAnsi="Garamond" w:cs="Arial"/>
          <w:noProof/>
          <w:szCs w:val="24"/>
          <w:lang w:val="it-IT"/>
        </w:rPr>
        <w:t>_____________</w:t>
      </w:r>
      <w:r w:rsidR="00FF63C4" w:rsidRPr="00FF63C4">
        <w:rPr>
          <w:rFonts w:ascii="Garamond" w:hAnsi="Garamond"/>
          <w:lang w:val="it-IT"/>
        </w:rPr>
        <w:t xml:space="preserve">, nato a </w:t>
      </w:r>
      <w:r w:rsidR="00093CF3">
        <w:rPr>
          <w:rFonts w:ascii="Garamond" w:hAnsi="Garamond"/>
          <w:lang w:val="it-IT"/>
        </w:rPr>
        <w:t>_______</w:t>
      </w:r>
      <w:r w:rsidR="00FF63C4" w:rsidRPr="00FF63C4">
        <w:rPr>
          <w:rFonts w:ascii="Garamond" w:hAnsi="Garamond"/>
          <w:lang w:val="it-IT"/>
        </w:rPr>
        <w:t xml:space="preserve"> il </w:t>
      </w:r>
      <w:r w:rsidR="00093CF3">
        <w:rPr>
          <w:rFonts w:ascii="Garamond" w:hAnsi="Garamond"/>
          <w:lang w:val="it-IT"/>
        </w:rPr>
        <w:t>____________</w:t>
      </w:r>
      <w:r w:rsidR="00FF63C4" w:rsidRPr="00FF63C4">
        <w:rPr>
          <w:rFonts w:ascii="Garamond" w:hAnsi="Garamond"/>
          <w:lang w:val="it-IT"/>
        </w:rPr>
        <w:t xml:space="preserve">, </w:t>
      </w:r>
      <w:r w:rsidR="00BE0779">
        <w:rPr>
          <w:rFonts w:ascii="Garamond" w:hAnsi="Garamond"/>
          <w:lang w:val="it-IT"/>
        </w:rPr>
        <w:t xml:space="preserve">in possesso di </w:t>
      </w:r>
      <w:r w:rsidR="00BE0779" w:rsidRPr="00BE0779">
        <w:rPr>
          <w:rFonts w:ascii="Garamond" w:hAnsi="Garamond"/>
          <w:lang w:val="it-IT"/>
        </w:rPr>
        <w:t>in possesso di laurea</w:t>
      </w:r>
      <w:r w:rsidR="00BE0779" w:rsidRPr="00FF63C4">
        <w:rPr>
          <w:rFonts w:ascii="Garamond" w:hAnsi="Garamond"/>
          <w:lang w:val="it-IT"/>
        </w:rPr>
        <w:t xml:space="preserve"> </w:t>
      </w:r>
      <w:r w:rsidR="00BE0779">
        <w:rPr>
          <w:rFonts w:ascii="Garamond" w:hAnsi="Garamond"/>
          <w:lang w:val="it-IT"/>
        </w:rPr>
        <w:t xml:space="preserve">in ____________ </w:t>
      </w:r>
      <w:r w:rsidR="00FF63C4" w:rsidRPr="00FF63C4">
        <w:rPr>
          <w:rFonts w:ascii="Garamond" w:hAnsi="Garamond"/>
          <w:lang w:val="it-IT"/>
        </w:rPr>
        <w:t xml:space="preserve">iscritto all’Ordine degli </w:t>
      </w:r>
      <w:r w:rsidR="00BE0779">
        <w:rPr>
          <w:rFonts w:ascii="Garamond" w:hAnsi="Garamond"/>
          <w:lang w:val="it-IT"/>
        </w:rPr>
        <w:t>___________</w:t>
      </w:r>
      <w:r w:rsidR="00FF63C4" w:rsidRPr="00FF63C4">
        <w:rPr>
          <w:rFonts w:ascii="Garamond" w:hAnsi="Garamond"/>
          <w:lang w:val="it-IT"/>
        </w:rPr>
        <w:t xml:space="preserve"> della Provincia di </w:t>
      </w:r>
      <w:r w:rsidR="00BE0779">
        <w:rPr>
          <w:rFonts w:ascii="Garamond" w:hAnsi="Garamond"/>
          <w:lang w:val="it-IT"/>
        </w:rPr>
        <w:t>_______</w:t>
      </w:r>
      <w:r w:rsidR="00FF63C4" w:rsidRPr="00FF63C4">
        <w:rPr>
          <w:rFonts w:ascii="Garamond" w:hAnsi="Garamond"/>
          <w:lang w:val="it-IT"/>
        </w:rPr>
        <w:t xml:space="preserve"> al n. </w:t>
      </w:r>
      <w:r w:rsidR="00BE0779">
        <w:rPr>
          <w:rFonts w:ascii="Garamond" w:hAnsi="Garamond"/>
          <w:lang w:val="it-IT"/>
        </w:rPr>
        <w:t>___ (non obbligatorio)</w:t>
      </w:r>
      <w:r w:rsidR="00FF63C4" w:rsidRPr="00FF63C4">
        <w:rPr>
          <w:rFonts w:ascii="Garamond" w:hAnsi="Garamond"/>
          <w:lang w:val="it-IT"/>
        </w:rPr>
        <w:t xml:space="preserve">, con studio in </w:t>
      </w:r>
      <w:r w:rsidR="00BE0779">
        <w:rPr>
          <w:rFonts w:ascii="Garamond" w:hAnsi="Garamond"/>
          <w:lang w:val="it-IT"/>
        </w:rPr>
        <w:t>___________</w:t>
      </w:r>
      <w:r w:rsidR="00FF63C4" w:rsidRPr="00FF63C4">
        <w:rPr>
          <w:rFonts w:ascii="Garamond" w:hAnsi="Garamond"/>
          <w:lang w:val="it-IT"/>
        </w:rPr>
        <w:t xml:space="preserve">, via </w:t>
      </w:r>
      <w:r w:rsidR="00BE0779">
        <w:rPr>
          <w:rFonts w:ascii="Garamond" w:hAnsi="Garamond"/>
          <w:lang w:val="it-IT"/>
        </w:rPr>
        <w:t>_________</w:t>
      </w:r>
      <w:r w:rsidR="00FF63C4" w:rsidRPr="00FF63C4">
        <w:rPr>
          <w:rFonts w:ascii="Garamond" w:hAnsi="Garamond"/>
          <w:lang w:val="it-IT"/>
        </w:rPr>
        <w:t xml:space="preserve"> n° </w:t>
      </w:r>
      <w:r w:rsidR="00BE0779">
        <w:rPr>
          <w:rFonts w:ascii="Garamond" w:hAnsi="Garamond"/>
          <w:lang w:val="it-IT"/>
        </w:rPr>
        <w:t>__</w:t>
      </w:r>
      <w:r w:rsidR="00103435" w:rsidRPr="00103435">
        <w:rPr>
          <w:rFonts w:ascii="Garamond" w:hAnsi="Garamond" w:cs="Arial"/>
          <w:szCs w:val="24"/>
          <w:lang w:val="it-IT"/>
        </w:rPr>
        <w:t xml:space="preserve">, conferma la propria disponibilità a svolgere il ruolo di Commissario di gara </w:t>
      </w:r>
      <w:r w:rsidR="00093CF3">
        <w:rPr>
          <w:rFonts w:ascii="Garamond" w:hAnsi="Garamond" w:cs="Arial"/>
          <w:szCs w:val="24"/>
          <w:lang w:val="it-IT"/>
        </w:rPr>
        <w:t xml:space="preserve">per </w:t>
      </w:r>
      <w:r w:rsidR="00BE0779">
        <w:rPr>
          <w:rFonts w:ascii="Garamond" w:hAnsi="Garamond" w:cs="Arial"/>
          <w:szCs w:val="24"/>
          <w:lang w:val="it-IT"/>
        </w:rPr>
        <w:t>la</w:t>
      </w:r>
      <w:r w:rsidR="00093CF3" w:rsidRPr="00093CF3">
        <w:rPr>
          <w:rFonts w:ascii="Garamond" w:hAnsi="Garamond" w:cs="Arial"/>
          <w:szCs w:val="24"/>
          <w:lang w:val="it-IT"/>
        </w:rPr>
        <w:t xml:space="preserve"> valutazione </w:t>
      </w:r>
      <w:r w:rsidR="00BE0779">
        <w:rPr>
          <w:rFonts w:ascii="Garamond" w:hAnsi="Garamond" w:cs="Arial"/>
          <w:szCs w:val="24"/>
          <w:lang w:val="it-IT"/>
        </w:rPr>
        <w:t xml:space="preserve">di </w:t>
      </w:r>
      <w:r w:rsidR="00093CF3" w:rsidRPr="00093CF3">
        <w:rPr>
          <w:rFonts w:ascii="Garamond" w:hAnsi="Garamond" w:cs="Arial"/>
          <w:szCs w:val="24"/>
          <w:lang w:val="it-IT"/>
        </w:rPr>
        <w:t>progetti finanziati nell’ambito dell’“Area di crisi - miglioramento infrastrutture zone industriali, logistica svincoli o situazioni particolari AI e PIP”, risorse del FSC 2014-2020, di cui alle D.G.R. n. 456 del 25 novembre 2019, n. 219 del 02 luglio 2020 e n. 179 del 17 giugno 2021</w:t>
      </w:r>
      <w:r w:rsidR="00093CF3">
        <w:rPr>
          <w:rFonts w:ascii="Garamond" w:hAnsi="Garamond" w:cs="Arial"/>
          <w:szCs w:val="24"/>
          <w:lang w:val="it-IT"/>
        </w:rPr>
        <w:t xml:space="preserve">, da svolgersi </w:t>
      </w:r>
      <w:r w:rsidR="00103435" w:rsidRPr="00103435">
        <w:rPr>
          <w:rFonts w:ascii="Garamond" w:hAnsi="Garamond" w:cs="Arial"/>
          <w:noProof/>
          <w:szCs w:val="24"/>
          <w:lang w:val="it-IT"/>
        </w:rPr>
        <w:t>presso la sede del Consorzio</w:t>
      </w:r>
      <w:r w:rsidR="00103435" w:rsidRPr="00103435">
        <w:rPr>
          <w:szCs w:val="24"/>
          <w:lang w:val="it-IT"/>
        </w:rPr>
        <w:t xml:space="preserve"> </w:t>
      </w:r>
      <w:r w:rsidR="00103435" w:rsidRPr="00103435">
        <w:rPr>
          <w:rFonts w:ascii="Garamond" w:hAnsi="Garamond" w:cs="Arial"/>
          <w:noProof/>
          <w:szCs w:val="24"/>
          <w:lang w:val="it-IT"/>
        </w:rPr>
        <w:t>per lo Sviluppo Industriale Isernia-Venafro</w:t>
      </w:r>
      <w:r w:rsidR="00093CF3">
        <w:rPr>
          <w:rFonts w:ascii="Garamond" w:hAnsi="Garamond" w:cs="Arial"/>
          <w:noProof/>
          <w:szCs w:val="24"/>
          <w:lang w:val="it-IT"/>
        </w:rPr>
        <w:t xml:space="preserve"> nelle sedute pubbliche</w:t>
      </w:r>
      <w:r w:rsidR="00BE0779">
        <w:rPr>
          <w:rFonts w:ascii="Garamond" w:hAnsi="Garamond" w:cs="Arial"/>
          <w:noProof/>
          <w:szCs w:val="24"/>
          <w:lang w:val="it-IT"/>
        </w:rPr>
        <w:t xml:space="preserve"> e da remoto nelle sedute private</w:t>
      </w:r>
      <w:r w:rsidR="00103435" w:rsidRPr="00103435">
        <w:rPr>
          <w:rFonts w:ascii="Garamond" w:hAnsi="Garamond" w:cs="Arial"/>
          <w:noProof/>
          <w:szCs w:val="24"/>
          <w:lang w:val="it-IT"/>
        </w:rPr>
        <w:t>.</w:t>
      </w:r>
      <w:r w:rsidR="00A8451E">
        <w:rPr>
          <w:rFonts w:ascii="Garamond" w:hAnsi="Garamond" w:cs="Arial"/>
          <w:noProof/>
          <w:szCs w:val="24"/>
          <w:lang w:val="it-IT"/>
        </w:rPr>
        <w:t xml:space="preserve"> </w:t>
      </w:r>
      <w:r w:rsidR="00103435" w:rsidRPr="00103435">
        <w:rPr>
          <w:rFonts w:ascii="Garamond" w:hAnsi="Garamond" w:cs="Arial"/>
          <w:noProof/>
          <w:szCs w:val="24"/>
          <w:lang w:val="it-IT"/>
        </w:rPr>
        <w:t>A tal fine</w:t>
      </w:r>
      <w:r w:rsidR="00091569">
        <w:rPr>
          <w:rFonts w:ascii="Garamond" w:hAnsi="Garamond" w:cs="Arial"/>
          <w:noProof/>
          <w:szCs w:val="24"/>
          <w:lang w:val="it-IT"/>
        </w:rPr>
        <w:t xml:space="preserve">, </w:t>
      </w:r>
      <w:r w:rsidR="00091569" w:rsidRPr="00091569">
        <w:rPr>
          <w:rFonts w:ascii="Garamond" w:hAnsi="Garamond" w:cs="Arial"/>
          <w:noProof/>
          <w:szCs w:val="24"/>
          <w:lang w:val="it-IT"/>
        </w:rPr>
        <w:t>consapevole delle sanzioni penali richiamate dall’art.76 del D.P.R. 28.12.2000 n.445, in</w:t>
      </w:r>
      <w:r w:rsidR="00FF63C4">
        <w:rPr>
          <w:rFonts w:ascii="Garamond" w:hAnsi="Garamond" w:cs="Arial"/>
          <w:noProof/>
          <w:szCs w:val="24"/>
          <w:lang w:val="it-IT"/>
        </w:rPr>
        <w:t xml:space="preserve"> </w:t>
      </w:r>
      <w:r w:rsidR="00091569" w:rsidRPr="00091569">
        <w:rPr>
          <w:rFonts w:ascii="Garamond" w:hAnsi="Garamond" w:cs="Arial"/>
          <w:noProof/>
          <w:szCs w:val="24"/>
          <w:lang w:val="it-IT"/>
        </w:rPr>
        <w:t>caso di dichiarazioni mendaci</w:t>
      </w:r>
      <w:r w:rsidR="00091569">
        <w:rPr>
          <w:rFonts w:ascii="Garamond" w:hAnsi="Garamond" w:cs="Arial"/>
          <w:noProof/>
          <w:szCs w:val="24"/>
          <w:lang w:val="it-IT"/>
        </w:rPr>
        <w:t>,</w:t>
      </w:r>
      <w:r w:rsidR="00103435" w:rsidRPr="00103435">
        <w:rPr>
          <w:rFonts w:ascii="Garamond" w:hAnsi="Garamond" w:cs="Arial"/>
          <w:noProof/>
          <w:szCs w:val="24"/>
          <w:lang w:val="it-IT"/>
        </w:rPr>
        <w:t xml:space="preserve"> </w:t>
      </w:r>
    </w:p>
    <w:p w14:paraId="3BA80EB4" w14:textId="3948D646" w:rsidR="00A8451E" w:rsidRDefault="00103435" w:rsidP="00A8451E">
      <w:pPr>
        <w:tabs>
          <w:tab w:val="left" w:pos="2600"/>
        </w:tabs>
        <w:spacing w:after="200" w:line="360" w:lineRule="auto"/>
        <w:contextualSpacing/>
        <w:jc w:val="center"/>
        <w:rPr>
          <w:rFonts w:ascii="Garamond" w:hAnsi="Garamond" w:cs="Arial"/>
          <w:b/>
          <w:bCs/>
          <w:noProof/>
          <w:szCs w:val="24"/>
          <w:lang w:val="it-IT"/>
        </w:rPr>
      </w:pPr>
      <w:r w:rsidRPr="00103435">
        <w:rPr>
          <w:rFonts w:ascii="Garamond" w:hAnsi="Garamond" w:cs="Arial"/>
          <w:b/>
          <w:bCs/>
          <w:noProof/>
          <w:szCs w:val="24"/>
          <w:lang w:val="it-IT"/>
        </w:rPr>
        <w:t>DICHIARA</w:t>
      </w:r>
    </w:p>
    <w:p w14:paraId="6BF7E96A" w14:textId="321031A4" w:rsidR="005847AD" w:rsidRDefault="005847AD" w:rsidP="005847AD">
      <w:pPr>
        <w:pStyle w:val="Paragrafoelenco"/>
        <w:numPr>
          <w:ilvl w:val="0"/>
          <w:numId w:val="4"/>
        </w:numPr>
        <w:tabs>
          <w:tab w:val="left" w:pos="2600"/>
        </w:tabs>
        <w:spacing w:after="200" w:line="360" w:lineRule="auto"/>
        <w:jc w:val="both"/>
        <w:rPr>
          <w:rFonts w:ascii="Garamond" w:hAnsi="Garamond" w:cs="Arial"/>
          <w:noProof/>
          <w:lang w:val="it-IT"/>
        </w:rPr>
      </w:pPr>
      <w:r>
        <w:rPr>
          <w:rFonts w:ascii="Garamond" w:hAnsi="Garamond" w:cs="Arial"/>
          <w:noProof/>
          <w:lang w:val="it-IT"/>
        </w:rPr>
        <w:t xml:space="preserve">di </w:t>
      </w:r>
      <w:r w:rsidR="0050535C">
        <w:rPr>
          <w:rFonts w:ascii="Garamond" w:hAnsi="Garamond" w:cs="Arial"/>
          <w:noProof/>
          <w:lang w:val="it-IT"/>
        </w:rPr>
        <w:t>essere disponibile a svolgere almeno due sedute settimanali per la valutazione delle offerte;</w:t>
      </w:r>
    </w:p>
    <w:p w14:paraId="5EA374F5" w14:textId="5E6BE332" w:rsidR="00103435" w:rsidRPr="005847AD" w:rsidRDefault="00103435" w:rsidP="005847AD">
      <w:pPr>
        <w:pStyle w:val="Paragrafoelenco"/>
        <w:numPr>
          <w:ilvl w:val="0"/>
          <w:numId w:val="4"/>
        </w:numPr>
        <w:tabs>
          <w:tab w:val="left" w:pos="2600"/>
        </w:tabs>
        <w:spacing w:after="200" w:line="360" w:lineRule="auto"/>
        <w:jc w:val="both"/>
        <w:rPr>
          <w:rFonts w:ascii="Garamond" w:hAnsi="Garamond" w:cs="Arial"/>
          <w:noProof/>
          <w:lang w:val="it-IT"/>
        </w:rPr>
      </w:pPr>
      <w:r w:rsidRPr="005847AD">
        <w:rPr>
          <w:rFonts w:ascii="Garamond" w:hAnsi="Garamond" w:cs="Arial"/>
          <w:noProof/>
          <w:lang w:val="it-IT"/>
        </w:rPr>
        <w:t>di essere in possesso dei seguenti requisiti:</w:t>
      </w:r>
    </w:p>
    <w:p w14:paraId="4DB45668" w14:textId="70766183" w:rsidR="00103435" w:rsidRPr="00103435" w:rsidRDefault="00103435" w:rsidP="00103435">
      <w:pPr>
        <w:pStyle w:val="Paragrafoelenco"/>
        <w:numPr>
          <w:ilvl w:val="0"/>
          <w:numId w:val="2"/>
        </w:numPr>
        <w:tabs>
          <w:tab w:val="left" w:pos="0"/>
        </w:tabs>
        <w:spacing w:line="360" w:lineRule="auto"/>
        <w:jc w:val="both"/>
        <w:rPr>
          <w:rFonts w:ascii="Garamond" w:hAnsi="Garamond"/>
          <w:lang w:val="it-IT"/>
        </w:rPr>
      </w:pPr>
      <w:r w:rsidRPr="00103435">
        <w:rPr>
          <w:rFonts w:ascii="Garamond" w:hAnsi="Garamond"/>
          <w:i/>
          <w:lang w:val="it-IT"/>
        </w:rPr>
        <w:t>Requisiti di ordine generale e di idoneità professionale</w:t>
      </w:r>
      <w:r w:rsidRPr="00103435">
        <w:rPr>
          <w:rFonts w:ascii="Garamond" w:hAnsi="Garamond"/>
          <w:lang w:val="it-IT"/>
        </w:rPr>
        <w:t xml:space="preserve">: possesso di laurea in </w:t>
      </w:r>
      <w:r w:rsidR="00BE0779">
        <w:rPr>
          <w:rFonts w:ascii="Garamond" w:hAnsi="Garamond"/>
          <w:lang w:val="it-IT"/>
        </w:rPr>
        <w:t>___________</w:t>
      </w:r>
      <w:r w:rsidRPr="00103435">
        <w:rPr>
          <w:rFonts w:ascii="Garamond" w:hAnsi="Garamond"/>
          <w:lang w:val="it-IT"/>
        </w:rPr>
        <w:t>;</w:t>
      </w:r>
    </w:p>
    <w:p w14:paraId="1A63B8DD" w14:textId="0887DAD3" w:rsidR="00103435" w:rsidRDefault="00103435" w:rsidP="00103435">
      <w:pPr>
        <w:pStyle w:val="Paragrafoelenco"/>
        <w:numPr>
          <w:ilvl w:val="0"/>
          <w:numId w:val="2"/>
        </w:numPr>
        <w:tabs>
          <w:tab w:val="left" w:pos="0"/>
        </w:tabs>
        <w:spacing w:line="360" w:lineRule="auto"/>
        <w:jc w:val="both"/>
        <w:rPr>
          <w:rFonts w:ascii="Garamond" w:hAnsi="Garamond"/>
          <w:lang w:val="it-IT"/>
        </w:rPr>
      </w:pPr>
      <w:r w:rsidRPr="00103435">
        <w:rPr>
          <w:rFonts w:ascii="Garamond" w:hAnsi="Garamond"/>
          <w:i/>
          <w:lang w:val="it-IT"/>
        </w:rPr>
        <w:t>Requisiti di capacità tecnica – professionale</w:t>
      </w:r>
      <w:r w:rsidRPr="00103435">
        <w:rPr>
          <w:rFonts w:ascii="Garamond" w:hAnsi="Garamond"/>
          <w:lang w:val="it-IT"/>
        </w:rPr>
        <w:t>: dichiara di essere esperto nello specifico settore cui afferisce l’oggetto del contratto, con declarate professionalità in ambito tecnico e/o economico e/o amministrativo;</w:t>
      </w:r>
    </w:p>
    <w:p w14:paraId="1FE7B665" w14:textId="7E89F895" w:rsidR="0050535C" w:rsidRDefault="00BE0779" w:rsidP="00BE0779">
      <w:pPr>
        <w:tabs>
          <w:tab w:val="left" w:pos="0"/>
        </w:tabs>
        <w:spacing w:line="360" w:lineRule="auto"/>
        <w:jc w:val="both"/>
        <w:rPr>
          <w:rFonts w:ascii="Garamond" w:hAnsi="Garamond"/>
          <w:lang w:val="it-IT"/>
        </w:rPr>
      </w:pPr>
      <w:r>
        <w:rPr>
          <w:rFonts w:ascii="Garamond" w:hAnsi="Garamond"/>
          <w:lang w:val="it-IT"/>
        </w:rPr>
        <w:lastRenderedPageBreak/>
        <w:t>In particolare l’esperienza è comprovata</w:t>
      </w:r>
      <w:r w:rsidR="0050535C">
        <w:rPr>
          <w:rFonts w:ascii="Garamond" w:hAnsi="Garamond"/>
          <w:lang w:val="it-IT"/>
        </w:rPr>
        <w:t xml:space="preserve"> dallo svolgimento dei</w:t>
      </w:r>
      <w:r w:rsidR="0050535C" w:rsidRPr="0050535C">
        <w:rPr>
          <w:rFonts w:ascii="Garamond" w:hAnsi="Garamond"/>
          <w:lang w:val="it-IT"/>
        </w:rPr>
        <w:t xml:space="preserve"> </w:t>
      </w:r>
      <w:r w:rsidR="0050535C">
        <w:rPr>
          <w:rFonts w:ascii="Garamond" w:hAnsi="Garamond"/>
          <w:lang w:val="it-IT"/>
        </w:rPr>
        <w:t xml:space="preserve">seguenti </w:t>
      </w:r>
      <w:r w:rsidR="0050535C" w:rsidRPr="0050535C">
        <w:rPr>
          <w:rFonts w:ascii="Garamond" w:hAnsi="Garamond"/>
          <w:lang w:val="it-IT"/>
        </w:rPr>
        <w:t>servizi</w:t>
      </w:r>
      <w:r w:rsidR="0050535C">
        <w:rPr>
          <w:rFonts w:ascii="Garamond" w:hAnsi="Garamond"/>
          <w:lang w:val="it-IT"/>
        </w:rPr>
        <w:t>,</w:t>
      </w:r>
      <w:r w:rsidR="0050535C" w:rsidRPr="0050535C">
        <w:rPr>
          <w:rFonts w:ascii="Garamond" w:hAnsi="Garamond"/>
          <w:lang w:val="it-IT"/>
        </w:rPr>
        <w:t xml:space="preserve"> nel settore oggetto di appalto </w:t>
      </w:r>
      <w:r w:rsidR="0050535C">
        <w:rPr>
          <w:rFonts w:ascii="Garamond" w:hAnsi="Garamond"/>
          <w:lang w:val="it-IT"/>
        </w:rPr>
        <w:t>di seguito barrato:</w:t>
      </w:r>
    </w:p>
    <w:tbl>
      <w:tblPr>
        <w:tblStyle w:val="Grigliatabella"/>
        <w:tblW w:w="0" w:type="auto"/>
        <w:tblLook w:val="04A0" w:firstRow="1" w:lastRow="0" w:firstColumn="1" w:lastColumn="0" w:noHBand="0" w:noVBand="1"/>
      </w:tblPr>
      <w:tblGrid>
        <w:gridCol w:w="421"/>
        <w:gridCol w:w="2835"/>
        <w:gridCol w:w="6706"/>
      </w:tblGrid>
      <w:tr w:rsidR="004157F5" w14:paraId="4E5F5BF8" w14:textId="77777777" w:rsidTr="00223F84">
        <w:tc>
          <w:tcPr>
            <w:tcW w:w="3256" w:type="dxa"/>
            <w:gridSpan w:val="2"/>
          </w:tcPr>
          <w:p w14:paraId="2AAD8A6A" w14:textId="5AA2BBEC" w:rsidR="004157F5" w:rsidRDefault="004157F5" w:rsidP="0050535C">
            <w:pPr>
              <w:tabs>
                <w:tab w:val="left" w:pos="0"/>
              </w:tabs>
              <w:spacing w:line="360" w:lineRule="auto"/>
              <w:jc w:val="center"/>
              <w:rPr>
                <w:rFonts w:ascii="Garamond" w:hAnsi="Garamond"/>
                <w:lang w:val="it-IT"/>
              </w:rPr>
            </w:pPr>
            <w:r>
              <w:rPr>
                <w:rFonts w:ascii="Garamond" w:hAnsi="Garamond"/>
                <w:lang w:val="it-IT"/>
              </w:rPr>
              <w:t>SETTORE</w:t>
            </w:r>
          </w:p>
        </w:tc>
        <w:tc>
          <w:tcPr>
            <w:tcW w:w="6706" w:type="dxa"/>
            <w:vAlign w:val="center"/>
          </w:tcPr>
          <w:p w14:paraId="5EA3D641" w14:textId="45D24613" w:rsidR="004157F5" w:rsidRDefault="004157F5" w:rsidP="0050535C">
            <w:pPr>
              <w:tabs>
                <w:tab w:val="left" w:pos="0"/>
              </w:tabs>
              <w:spacing w:line="360" w:lineRule="auto"/>
              <w:jc w:val="center"/>
              <w:rPr>
                <w:rFonts w:ascii="Garamond" w:hAnsi="Garamond"/>
                <w:lang w:val="it-IT"/>
              </w:rPr>
            </w:pPr>
            <w:r>
              <w:rPr>
                <w:rFonts w:ascii="Garamond" w:hAnsi="Garamond"/>
                <w:lang w:val="it-IT"/>
              </w:rPr>
              <w:t>SERVIZI SVOLTI</w:t>
            </w:r>
          </w:p>
        </w:tc>
      </w:tr>
      <w:tr w:rsidR="004157F5" w14:paraId="5657C881" w14:textId="77777777" w:rsidTr="004157F5">
        <w:tc>
          <w:tcPr>
            <w:tcW w:w="421" w:type="dxa"/>
          </w:tcPr>
          <w:p w14:paraId="48FE6C67" w14:textId="77777777" w:rsidR="004157F5" w:rsidRPr="0050535C" w:rsidRDefault="004157F5" w:rsidP="0050535C">
            <w:pPr>
              <w:tabs>
                <w:tab w:val="left" w:pos="0"/>
              </w:tabs>
              <w:spacing w:line="360" w:lineRule="auto"/>
              <w:jc w:val="center"/>
              <w:rPr>
                <w:rFonts w:ascii="Garamond" w:hAnsi="Garamond"/>
                <w:lang w:val="it-IT"/>
              </w:rPr>
            </w:pPr>
          </w:p>
        </w:tc>
        <w:tc>
          <w:tcPr>
            <w:tcW w:w="2835" w:type="dxa"/>
            <w:vAlign w:val="center"/>
          </w:tcPr>
          <w:p w14:paraId="3B582990" w14:textId="7759BEEC" w:rsidR="004157F5" w:rsidRDefault="004157F5" w:rsidP="0050535C">
            <w:pPr>
              <w:tabs>
                <w:tab w:val="left" w:pos="0"/>
              </w:tabs>
              <w:spacing w:line="360" w:lineRule="auto"/>
              <w:jc w:val="center"/>
              <w:rPr>
                <w:rFonts w:ascii="Garamond" w:hAnsi="Garamond"/>
                <w:lang w:val="it-IT"/>
              </w:rPr>
            </w:pPr>
            <w:r w:rsidRPr="0050535C">
              <w:rPr>
                <w:rFonts w:ascii="Garamond" w:hAnsi="Garamond"/>
                <w:lang w:val="it-IT"/>
              </w:rPr>
              <w:t>Reti fognarie</w:t>
            </w:r>
          </w:p>
        </w:tc>
        <w:tc>
          <w:tcPr>
            <w:tcW w:w="6706" w:type="dxa"/>
          </w:tcPr>
          <w:p w14:paraId="403F4571" w14:textId="77777777" w:rsidR="004157F5" w:rsidRDefault="004157F5" w:rsidP="00BE0779">
            <w:pPr>
              <w:tabs>
                <w:tab w:val="left" w:pos="0"/>
              </w:tabs>
              <w:spacing w:line="360" w:lineRule="auto"/>
              <w:jc w:val="both"/>
              <w:rPr>
                <w:rFonts w:ascii="Garamond" w:hAnsi="Garamond"/>
                <w:lang w:val="it-IT"/>
              </w:rPr>
            </w:pPr>
          </w:p>
        </w:tc>
      </w:tr>
      <w:tr w:rsidR="004157F5" w14:paraId="71E1EE03" w14:textId="77777777" w:rsidTr="004157F5">
        <w:tc>
          <w:tcPr>
            <w:tcW w:w="421" w:type="dxa"/>
          </w:tcPr>
          <w:p w14:paraId="627DF1F4" w14:textId="77777777" w:rsidR="004157F5" w:rsidRPr="0050535C" w:rsidRDefault="004157F5" w:rsidP="0050535C">
            <w:pPr>
              <w:tabs>
                <w:tab w:val="left" w:pos="0"/>
              </w:tabs>
              <w:spacing w:line="360" w:lineRule="auto"/>
              <w:jc w:val="center"/>
              <w:rPr>
                <w:rFonts w:ascii="Garamond" w:hAnsi="Garamond"/>
                <w:lang w:val="it-IT"/>
              </w:rPr>
            </w:pPr>
          </w:p>
        </w:tc>
        <w:tc>
          <w:tcPr>
            <w:tcW w:w="2835" w:type="dxa"/>
            <w:vAlign w:val="center"/>
          </w:tcPr>
          <w:p w14:paraId="00B3EF82" w14:textId="6391913E" w:rsidR="004157F5" w:rsidRDefault="004157F5" w:rsidP="0050535C">
            <w:pPr>
              <w:tabs>
                <w:tab w:val="left" w:pos="0"/>
              </w:tabs>
              <w:spacing w:line="360" w:lineRule="auto"/>
              <w:jc w:val="center"/>
              <w:rPr>
                <w:rFonts w:ascii="Garamond" w:hAnsi="Garamond"/>
                <w:lang w:val="it-IT"/>
              </w:rPr>
            </w:pPr>
            <w:r w:rsidRPr="0050535C">
              <w:rPr>
                <w:rFonts w:ascii="Garamond" w:hAnsi="Garamond"/>
                <w:lang w:val="it-IT"/>
              </w:rPr>
              <w:t>Strade</w:t>
            </w:r>
          </w:p>
        </w:tc>
        <w:tc>
          <w:tcPr>
            <w:tcW w:w="6706" w:type="dxa"/>
          </w:tcPr>
          <w:p w14:paraId="11F7FE42" w14:textId="77777777" w:rsidR="004157F5" w:rsidRDefault="004157F5" w:rsidP="00BE0779">
            <w:pPr>
              <w:tabs>
                <w:tab w:val="left" w:pos="0"/>
              </w:tabs>
              <w:spacing w:line="360" w:lineRule="auto"/>
              <w:jc w:val="both"/>
              <w:rPr>
                <w:rFonts w:ascii="Garamond" w:hAnsi="Garamond"/>
                <w:lang w:val="it-IT"/>
              </w:rPr>
            </w:pPr>
          </w:p>
        </w:tc>
      </w:tr>
      <w:tr w:rsidR="004157F5" w14:paraId="735339B2" w14:textId="77777777" w:rsidTr="004157F5">
        <w:tc>
          <w:tcPr>
            <w:tcW w:w="421" w:type="dxa"/>
          </w:tcPr>
          <w:p w14:paraId="75388654" w14:textId="77777777" w:rsidR="004157F5" w:rsidRPr="0050535C" w:rsidRDefault="004157F5" w:rsidP="0050535C">
            <w:pPr>
              <w:tabs>
                <w:tab w:val="left" w:pos="0"/>
              </w:tabs>
              <w:spacing w:line="360" w:lineRule="auto"/>
              <w:jc w:val="center"/>
              <w:rPr>
                <w:rFonts w:ascii="Garamond" w:hAnsi="Garamond"/>
                <w:lang w:val="it-IT"/>
              </w:rPr>
            </w:pPr>
          </w:p>
        </w:tc>
        <w:tc>
          <w:tcPr>
            <w:tcW w:w="2835" w:type="dxa"/>
            <w:vAlign w:val="center"/>
          </w:tcPr>
          <w:p w14:paraId="0374CBBD" w14:textId="14B81634" w:rsidR="004157F5" w:rsidRDefault="004157F5" w:rsidP="0050535C">
            <w:pPr>
              <w:tabs>
                <w:tab w:val="left" w:pos="0"/>
              </w:tabs>
              <w:spacing w:line="360" w:lineRule="auto"/>
              <w:jc w:val="center"/>
              <w:rPr>
                <w:rFonts w:ascii="Garamond" w:hAnsi="Garamond"/>
                <w:lang w:val="it-IT"/>
              </w:rPr>
            </w:pPr>
            <w:r w:rsidRPr="0050535C">
              <w:rPr>
                <w:rFonts w:ascii="Garamond" w:hAnsi="Garamond"/>
                <w:lang w:val="it-IT"/>
              </w:rPr>
              <w:t>Reti ferroviarie</w:t>
            </w:r>
          </w:p>
        </w:tc>
        <w:tc>
          <w:tcPr>
            <w:tcW w:w="6706" w:type="dxa"/>
          </w:tcPr>
          <w:p w14:paraId="32B8B70D" w14:textId="77777777" w:rsidR="004157F5" w:rsidRDefault="004157F5" w:rsidP="00BE0779">
            <w:pPr>
              <w:tabs>
                <w:tab w:val="left" w:pos="0"/>
              </w:tabs>
              <w:spacing w:line="360" w:lineRule="auto"/>
              <w:jc w:val="both"/>
              <w:rPr>
                <w:rFonts w:ascii="Garamond" w:hAnsi="Garamond"/>
                <w:lang w:val="it-IT"/>
              </w:rPr>
            </w:pPr>
          </w:p>
        </w:tc>
      </w:tr>
      <w:tr w:rsidR="002F5E09" w14:paraId="6C756B68" w14:textId="77777777" w:rsidTr="004157F5">
        <w:tc>
          <w:tcPr>
            <w:tcW w:w="421" w:type="dxa"/>
          </w:tcPr>
          <w:p w14:paraId="1888A593" w14:textId="77777777" w:rsidR="002F5E09" w:rsidRPr="0050535C" w:rsidRDefault="002F5E09" w:rsidP="0050535C">
            <w:pPr>
              <w:tabs>
                <w:tab w:val="left" w:pos="0"/>
              </w:tabs>
              <w:spacing w:line="360" w:lineRule="auto"/>
              <w:jc w:val="center"/>
              <w:rPr>
                <w:rFonts w:ascii="Garamond" w:hAnsi="Garamond"/>
                <w:lang w:val="it-IT"/>
              </w:rPr>
            </w:pPr>
          </w:p>
        </w:tc>
        <w:tc>
          <w:tcPr>
            <w:tcW w:w="2835" w:type="dxa"/>
            <w:vAlign w:val="center"/>
          </w:tcPr>
          <w:p w14:paraId="4D44C760" w14:textId="66B372DF" w:rsidR="002F5E09" w:rsidRPr="0050535C" w:rsidRDefault="002F5E09" w:rsidP="0050535C">
            <w:pPr>
              <w:tabs>
                <w:tab w:val="left" w:pos="0"/>
              </w:tabs>
              <w:spacing w:line="360" w:lineRule="auto"/>
              <w:jc w:val="center"/>
              <w:rPr>
                <w:rFonts w:ascii="Garamond" w:hAnsi="Garamond"/>
                <w:lang w:val="it-IT"/>
              </w:rPr>
            </w:pPr>
            <w:r>
              <w:rPr>
                <w:rFonts w:ascii="Garamond" w:hAnsi="Garamond"/>
                <w:lang w:val="it-IT"/>
              </w:rPr>
              <w:t>Smart Road</w:t>
            </w:r>
          </w:p>
        </w:tc>
        <w:tc>
          <w:tcPr>
            <w:tcW w:w="6706" w:type="dxa"/>
          </w:tcPr>
          <w:p w14:paraId="62A198F2" w14:textId="77777777" w:rsidR="002F5E09" w:rsidRDefault="002F5E09" w:rsidP="00BE0779">
            <w:pPr>
              <w:tabs>
                <w:tab w:val="left" w:pos="0"/>
              </w:tabs>
              <w:spacing w:line="360" w:lineRule="auto"/>
              <w:jc w:val="both"/>
              <w:rPr>
                <w:rFonts w:ascii="Garamond" w:hAnsi="Garamond"/>
                <w:lang w:val="it-IT"/>
              </w:rPr>
            </w:pPr>
          </w:p>
        </w:tc>
      </w:tr>
      <w:tr w:rsidR="002F5E09" w14:paraId="4A42F629" w14:textId="77777777" w:rsidTr="004157F5">
        <w:tc>
          <w:tcPr>
            <w:tcW w:w="421" w:type="dxa"/>
          </w:tcPr>
          <w:p w14:paraId="7C1C63A9" w14:textId="77777777" w:rsidR="002F5E09" w:rsidRPr="0050535C" w:rsidRDefault="002F5E09" w:rsidP="0050535C">
            <w:pPr>
              <w:tabs>
                <w:tab w:val="left" w:pos="0"/>
              </w:tabs>
              <w:spacing w:line="360" w:lineRule="auto"/>
              <w:jc w:val="center"/>
              <w:rPr>
                <w:rFonts w:ascii="Garamond" w:hAnsi="Garamond"/>
                <w:lang w:val="it-IT"/>
              </w:rPr>
            </w:pPr>
          </w:p>
        </w:tc>
        <w:tc>
          <w:tcPr>
            <w:tcW w:w="2835" w:type="dxa"/>
            <w:vAlign w:val="center"/>
          </w:tcPr>
          <w:p w14:paraId="682856BC" w14:textId="0014793A" w:rsidR="002F5E09" w:rsidRPr="0050535C" w:rsidRDefault="002F5E09" w:rsidP="0050535C">
            <w:pPr>
              <w:tabs>
                <w:tab w:val="left" w:pos="0"/>
              </w:tabs>
              <w:spacing w:line="360" w:lineRule="auto"/>
              <w:jc w:val="center"/>
              <w:rPr>
                <w:rFonts w:ascii="Garamond" w:hAnsi="Garamond"/>
                <w:lang w:val="it-IT"/>
              </w:rPr>
            </w:pPr>
            <w:r>
              <w:rPr>
                <w:rFonts w:ascii="Garamond" w:hAnsi="Garamond"/>
                <w:lang w:val="it-IT"/>
              </w:rPr>
              <w:t>Pubblica illuminazione</w:t>
            </w:r>
          </w:p>
        </w:tc>
        <w:tc>
          <w:tcPr>
            <w:tcW w:w="6706" w:type="dxa"/>
          </w:tcPr>
          <w:p w14:paraId="6E944C60" w14:textId="77777777" w:rsidR="002F5E09" w:rsidRDefault="002F5E09" w:rsidP="00BE0779">
            <w:pPr>
              <w:tabs>
                <w:tab w:val="left" w:pos="0"/>
              </w:tabs>
              <w:spacing w:line="360" w:lineRule="auto"/>
              <w:jc w:val="both"/>
              <w:rPr>
                <w:rFonts w:ascii="Garamond" w:hAnsi="Garamond"/>
                <w:lang w:val="it-IT"/>
              </w:rPr>
            </w:pPr>
          </w:p>
        </w:tc>
      </w:tr>
      <w:tr w:rsidR="004157F5" w14:paraId="00430BC7" w14:textId="77777777" w:rsidTr="004157F5">
        <w:tc>
          <w:tcPr>
            <w:tcW w:w="421" w:type="dxa"/>
          </w:tcPr>
          <w:p w14:paraId="7DB69C35" w14:textId="77777777" w:rsidR="004157F5" w:rsidRPr="0050535C" w:rsidRDefault="004157F5" w:rsidP="0050535C">
            <w:pPr>
              <w:tabs>
                <w:tab w:val="left" w:pos="0"/>
              </w:tabs>
              <w:spacing w:line="360" w:lineRule="auto"/>
              <w:jc w:val="center"/>
              <w:rPr>
                <w:rFonts w:ascii="Garamond" w:hAnsi="Garamond"/>
                <w:lang w:val="it-IT"/>
              </w:rPr>
            </w:pPr>
          </w:p>
        </w:tc>
        <w:tc>
          <w:tcPr>
            <w:tcW w:w="2835" w:type="dxa"/>
            <w:vAlign w:val="center"/>
          </w:tcPr>
          <w:p w14:paraId="5AD968E9" w14:textId="1486429F" w:rsidR="004157F5" w:rsidRDefault="004157F5" w:rsidP="0050535C">
            <w:pPr>
              <w:tabs>
                <w:tab w:val="left" w:pos="0"/>
              </w:tabs>
              <w:spacing w:line="360" w:lineRule="auto"/>
              <w:jc w:val="center"/>
              <w:rPr>
                <w:rFonts w:ascii="Garamond" w:hAnsi="Garamond"/>
                <w:lang w:val="it-IT"/>
              </w:rPr>
            </w:pPr>
            <w:r w:rsidRPr="0050535C">
              <w:rPr>
                <w:rFonts w:ascii="Garamond" w:hAnsi="Garamond"/>
                <w:lang w:val="it-IT"/>
              </w:rPr>
              <w:t>Reti idriche</w:t>
            </w:r>
          </w:p>
        </w:tc>
        <w:tc>
          <w:tcPr>
            <w:tcW w:w="6706" w:type="dxa"/>
          </w:tcPr>
          <w:p w14:paraId="619A873D" w14:textId="77777777" w:rsidR="004157F5" w:rsidRDefault="004157F5" w:rsidP="00BE0779">
            <w:pPr>
              <w:tabs>
                <w:tab w:val="left" w:pos="0"/>
              </w:tabs>
              <w:spacing w:line="360" w:lineRule="auto"/>
              <w:jc w:val="both"/>
              <w:rPr>
                <w:rFonts w:ascii="Garamond" w:hAnsi="Garamond"/>
                <w:lang w:val="it-IT"/>
              </w:rPr>
            </w:pPr>
          </w:p>
        </w:tc>
      </w:tr>
      <w:tr w:rsidR="004157F5" w:rsidRPr="008C2E1E" w14:paraId="1B8C0E7E" w14:textId="77777777" w:rsidTr="004157F5">
        <w:tc>
          <w:tcPr>
            <w:tcW w:w="421" w:type="dxa"/>
          </w:tcPr>
          <w:p w14:paraId="7811F78E" w14:textId="77777777" w:rsidR="004157F5" w:rsidRPr="0050535C" w:rsidRDefault="004157F5" w:rsidP="0050535C">
            <w:pPr>
              <w:tabs>
                <w:tab w:val="left" w:pos="0"/>
              </w:tabs>
              <w:spacing w:line="360" w:lineRule="auto"/>
              <w:jc w:val="center"/>
              <w:rPr>
                <w:rFonts w:ascii="Garamond" w:hAnsi="Garamond"/>
                <w:lang w:val="it-IT"/>
              </w:rPr>
            </w:pPr>
          </w:p>
        </w:tc>
        <w:tc>
          <w:tcPr>
            <w:tcW w:w="2835" w:type="dxa"/>
            <w:vAlign w:val="center"/>
          </w:tcPr>
          <w:p w14:paraId="272771E3" w14:textId="61DF3D5F" w:rsidR="004157F5" w:rsidRDefault="004157F5" w:rsidP="0050535C">
            <w:pPr>
              <w:tabs>
                <w:tab w:val="left" w:pos="0"/>
              </w:tabs>
              <w:spacing w:line="360" w:lineRule="auto"/>
              <w:jc w:val="center"/>
              <w:rPr>
                <w:rFonts w:ascii="Garamond" w:hAnsi="Garamond"/>
                <w:lang w:val="it-IT"/>
              </w:rPr>
            </w:pPr>
            <w:r>
              <w:rPr>
                <w:rFonts w:ascii="Garamond" w:hAnsi="Garamond"/>
                <w:lang w:val="it-IT"/>
              </w:rPr>
              <w:t>R</w:t>
            </w:r>
            <w:r w:rsidRPr="0050535C">
              <w:rPr>
                <w:rFonts w:ascii="Garamond" w:hAnsi="Garamond"/>
                <w:lang w:val="it-IT"/>
              </w:rPr>
              <w:t>eti di telecomunicazioni wi-fi</w:t>
            </w:r>
            <w:r>
              <w:rPr>
                <w:rFonts w:ascii="Garamond" w:hAnsi="Garamond"/>
                <w:lang w:val="it-IT"/>
              </w:rPr>
              <w:t xml:space="preserve"> </w:t>
            </w:r>
            <w:r w:rsidRPr="0050535C">
              <w:rPr>
                <w:rFonts w:ascii="Garamond" w:hAnsi="Garamond"/>
                <w:lang w:val="it-IT"/>
              </w:rPr>
              <w:t>(banda ultra larga)</w:t>
            </w:r>
          </w:p>
        </w:tc>
        <w:tc>
          <w:tcPr>
            <w:tcW w:w="6706" w:type="dxa"/>
          </w:tcPr>
          <w:p w14:paraId="2F48EBD5" w14:textId="77777777" w:rsidR="004157F5" w:rsidRDefault="004157F5" w:rsidP="00BE0779">
            <w:pPr>
              <w:tabs>
                <w:tab w:val="left" w:pos="0"/>
              </w:tabs>
              <w:spacing w:line="360" w:lineRule="auto"/>
              <w:jc w:val="both"/>
              <w:rPr>
                <w:rFonts w:ascii="Garamond" w:hAnsi="Garamond"/>
                <w:lang w:val="it-IT"/>
              </w:rPr>
            </w:pPr>
          </w:p>
        </w:tc>
      </w:tr>
      <w:tr w:rsidR="004157F5" w14:paraId="1AEAD1FC" w14:textId="77777777" w:rsidTr="004157F5">
        <w:tc>
          <w:tcPr>
            <w:tcW w:w="421" w:type="dxa"/>
          </w:tcPr>
          <w:p w14:paraId="5D2F0D44" w14:textId="77777777" w:rsidR="004157F5" w:rsidRPr="0050535C" w:rsidRDefault="004157F5" w:rsidP="0050535C">
            <w:pPr>
              <w:tabs>
                <w:tab w:val="left" w:pos="0"/>
              </w:tabs>
              <w:spacing w:line="360" w:lineRule="auto"/>
              <w:jc w:val="center"/>
              <w:rPr>
                <w:rFonts w:ascii="Garamond" w:hAnsi="Garamond"/>
                <w:lang w:val="it-IT"/>
              </w:rPr>
            </w:pPr>
          </w:p>
        </w:tc>
        <w:tc>
          <w:tcPr>
            <w:tcW w:w="2835" w:type="dxa"/>
            <w:vAlign w:val="center"/>
          </w:tcPr>
          <w:p w14:paraId="19EAD5E5" w14:textId="6452F287" w:rsidR="004157F5" w:rsidRDefault="004157F5" w:rsidP="0050535C">
            <w:pPr>
              <w:tabs>
                <w:tab w:val="left" w:pos="0"/>
              </w:tabs>
              <w:spacing w:line="360" w:lineRule="auto"/>
              <w:jc w:val="center"/>
              <w:rPr>
                <w:rFonts w:ascii="Garamond" w:hAnsi="Garamond"/>
                <w:lang w:val="it-IT"/>
              </w:rPr>
            </w:pPr>
            <w:r w:rsidRPr="0050535C">
              <w:rPr>
                <w:rFonts w:ascii="Garamond" w:hAnsi="Garamond"/>
                <w:lang w:val="it-IT"/>
              </w:rPr>
              <w:t>Impianti fotovoltaici</w:t>
            </w:r>
          </w:p>
        </w:tc>
        <w:tc>
          <w:tcPr>
            <w:tcW w:w="6706" w:type="dxa"/>
          </w:tcPr>
          <w:p w14:paraId="611C6F68" w14:textId="77777777" w:rsidR="004157F5" w:rsidRDefault="004157F5" w:rsidP="00BE0779">
            <w:pPr>
              <w:tabs>
                <w:tab w:val="left" w:pos="0"/>
              </w:tabs>
              <w:spacing w:line="360" w:lineRule="auto"/>
              <w:jc w:val="both"/>
              <w:rPr>
                <w:rFonts w:ascii="Garamond" w:hAnsi="Garamond"/>
                <w:lang w:val="it-IT"/>
              </w:rPr>
            </w:pPr>
          </w:p>
        </w:tc>
      </w:tr>
    </w:tbl>
    <w:p w14:paraId="5EE28A6C" w14:textId="0FB7ECD1" w:rsidR="00BE0779" w:rsidRPr="003B5F5B" w:rsidRDefault="0050535C" w:rsidP="0050535C">
      <w:pPr>
        <w:tabs>
          <w:tab w:val="left" w:pos="0"/>
        </w:tabs>
        <w:spacing w:line="360" w:lineRule="auto"/>
        <w:jc w:val="both"/>
        <w:rPr>
          <w:rFonts w:ascii="Garamond" w:hAnsi="Garamond"/>
          <w:sz w:val="18"/>
          <w:szCs w:val="18"/>
          <w:lang w:val="it-IT"/>
        </w:rPr>
      </w:pPr>
      <w:proofErr w:type="spellStart"/>
      <w:r w:rsidRPr="00A64E33">
        <w:rPr>
          <w:rFonts w:ascii="Garamond" w:hAnsi="Garamond"/>
          <w:sz w:val="18"/>
          <w:szCs w:val="18"/>
          <w:lang w:val="it-IT"/>
        </w:rPr>
        <w:t>N.b.</w:t>
      </w:r>
      <w:proofErr w:type="spellEnd"/>
      <w:r w:rsidRPr="00A64E33">
        <w:rPr>
          <w:rFonts w:ascii="Garamond" w:hAnsi="Garamond"/>
          <w:sz w:val="18"/>
          <w:szCs w:val="18"/>
          <w:lang w:val="it-IT"/>
        </w:rPr>
        <w:t xml:space="preserve"> Per servizi si intendono incarichi di: 1) progettazione; 2) coordinamento della sicurezza in fase di progettazione e di esecuzione; 3) direzione lavori; 4) collaudo in corso d’opera; 5) componente commissioni di gara per affidamento di lavori di uno degli ambiti di cui sopra, specificando</w:t>
      </w:r>
      <w:r w:rsidR="003B5F5B">
        <w:rPr>
          <w:rFonts w:ascii="Garamond" w:hAnsi="Garamond"/>
          <w:sz w:val="18"/>
          <w:szCs w:val="18"/>
          <w:lang w:val="it-IT"/>
        </w:rPr>
        <w:t xml:space="preserve"> </w:t>
      </w:r>
      <w:r w:rsidR="003B5F5B" w:rsidRPr="003B5F5B">
        <w:rPr>
          <w:rFonts w:ascii="Garamond" w:hAnsi="Garamond"/>
          <w:sz w:val="18"/>
          <w:szCs w:val="18"/>
          <w:lang w:val="it-IT"/>
        </w:rPr>
        <w:t xml:space="preserve">oggetto dei lavori, </w:t>
      </w:r>
      <w:r w:rsidR="003B5F5B">
        <w:rPr>
          <w:rFonts w:ascii="Garamond" w:hAnsi="Garamond"/>
          <w:sz w:val="18"/>
          <w:szCs w:val="18"/>
          <w:lang w:val="it-IT"/>
        </w:rPr>
        <w:t>c</w:t>
      </w:r>
      <w:r w:rsidR="003B5F5B" w:rsidRPr="003B5F5B">
        <w:rPr>
          <w:rFonts w:ascii="Garamond" w:hAnsi="Garamond"/>
          <w:sz w:val="18"/>
          <w:szCs w:val="18"/>
          <w:lang w:val="it-IT"/>
        </w:rPr>
        <w:t>ommittente, importo contrattuale</w:t>
      </w:r>
      <w:r w:rsidR="003B5F5B">
        <w:rPr>
          <w:rFonts w:ascii="Garamond" w:hAnsi="Garamond"/>
          <w:sz w:val="18"/>
          <w:szCs w:val="18"/>
          <w:lang w:val="it-IT"/>
        </w:rPr>
        <w:t>, anno.</w:t>
      </w:r>
    </w:p>
    <w:p w14:paraId="2EC6477C" w14:textId="77777777" w:rsidR="00A64E33" w:rsidRPr="00A64E33" w:rsidRDefault="00A64E33" w:rsidP="0050535C">
      <w:pPr>
        <w:tabs>
          <w:tab w:val="left" w:pos="0"/>
        </w:tabs>
        <w:spacing w:line="360" w:lineRule="auto"/>
        <w:jc w:val="both"/>
        <w:rPr>
          <w:rFonts w:ascii="Garamond" w:hAnsi="Garamond"/>
          <w:sz w:val="18"/>
          <w:szCs w:val="18"/>
          <w:lang w:val="it-IT"/>
        </w:rPr>
      </w:pPr>
    </w:p>
    <w:p w14:paraId="7EB7AB08" w14:textId="77777777" w:rsidR="00103435" w:rsidRPr="00103435" w:rsidRDefault="00103435" w:rsidP="00103435">
      <w:pPr>
        <w:pStyle w:val="Paragrafoelenco"/>
        <w:numPr>
          <w:ilvl w:val="0"/>
          <w:numId w:val="2"/>
        </w:numPr>
        <w:tabs>
          <w:tab w:val="left" w:pos="0"/>
        </w:tabs>
        <w:spacing w:line="360" w:lineRule="auto"/>
        <w:jc w:val="both"/>
        <w:rPr>
          <w:rFonts w:ascii="Garamond" w:hAnsi="Garamond"/>
          <w:lang w:val="it-IT"/>
        </w:rPr>
      </w:pPr>
      <w:r w:rsidRPr="00103435">
        <w:rPr>
          <w:rFonts w:ascii="Garamond" w:hAnsi="Garamond"/>
          <w:i/>
          <w:lang w:val="it-IT"/>
        </w:rPr>
        <w:t>Requisiti di moralità e compatibilità</w:t>
      </w:r>
      <w:r w:rsidRPr="00103435">
        <w:rPr>
          <w:rFonts w:ascii="Garamond" w:hAnsi="Garamond"/>
          <w:lang w:val="it-IT"/>
        </w:rPr>
        <w:t>:</w:t>
      </w:r>
    </w:p>
    <w:p w14:paraId="67294D50" w14:textId="77777777" w:rsidR="00103435" w:rsidRPr="00103435" w:rsidRDefault="00103435" w:rsidP="00103435">
      <w:pPr>
        <w:pStyle w:val="Paragrafoelenco"/>
        <w:numPr>
          <w:ilvl w:val="1"/>
          <w:numId w:val="2"/>
        </w:numPr>
        <w:tabs>
          <w:tab w:val="left" w:pos="0"/>
        </w:tabs>
        <w:spacing w:line="360" w:lineRule="auto"/>
        <w:jc w:val="both"/>
        <w:rPr>
          <w:rFonts w:ascii="Garamond" w:hAnsi="Garamond"/>
          <w:lang w:val="it-IT"/>
        </w:rPr>
      </w:pPr>
      <w:r w:rsidRPr="00103435">
        <w:rPr>
          <w:rFonts w:ascii="Garamond" w:hAnsi="Garamond"/>
          <w:lang w:val="it-IT"/>
        </w:rPr>
        <w:t>Dichiara di essere in possesso di requisiti di moralità e compatibilità di cui all’art. 77 commi 4, 5 e 6 del D. Lgs. 50/2016, in particolare:</w:t>
      </w:r>
    </w:p>
    <w:p w14:paraId="3687D632" w14:textId="77777777" w:rsidR="00103435" w:rsidRPr="00103435" w:rsidRDefault="00103435" w:rsidP="00103435">
      <w:pPr>
        <w:pStyle w:val="Paragrafoelenco"/>
        <w:numPr>
          <w:ilvl w:val="2"/>
          <w:numId w:val="2"/>
        </w:numPr>
        <w:tabs>
          <w:tab w:val="left" w:pos="0"/>
        </w:tabs>
        <w:spacing w:line="360" w:lineRule="auto"/>
        <w:jc w:val="both"/>
        <w:rPr>
          <w:rFonts w:ascii="Garamond" w:hAnsi="Garamond"/>
          <w:lang w:val="it-IT"/>
        </w:rPr>
      </w:pPr>
      <w:r w:rsidRPr="00103435">
        <w:rPr>
          <w:rFonts w:ascii="Garamond" w:hAnsi="Garamond"/>
          <w:lang w:val="it-IT"/>
        </w:rPr>
        <w:t>Di non aver svolto alcun'altra funzione o incarico tecnico o amministrativo relativamente al contratto del cui affidamento si tratta;</w:t>
      </w:r>
    </w:p>
    <w:p w14:paraId="143117BB" w14:textId="77777777" w:rsidR="00103435" w:rsidRPr="00103435" w:rsidRDefault="00103435" w:rsidP="00103435">
      <w:pPr>
        <w:pStyle w:val="Paragrafoelenco"/>
        <w:numPr>
          <w:ilvl w:val="2"/>
          <w:numId w:val="2"/>
        </w:numPr>
        <w:tabs>
          <w:tab w:val="left" w:pos="0"/>
        </w:tabs>
        <w:spacing w:line="360" w:lineRule="auto"/>
        <w:jc w:val="both"/>
        <w:rPr>
          <w:rFonts w:ascii="Garamond" w:hAnsi="Garamond"/>
          <w:lang w:val="it-IT"/>
        </w:rPr>
      </w:pPr>
      <w:r w:rsidRPr="00103435">
        <w:rPr>
          <w:rFonts w:ascii="Garamond" w:hAnsi="Garamond"/>
          <w:lang w:val="it-IT"/>
        </w:rPr>
        <w:t>nel biennio antecedente all'indizione della procedura di aggiudicazione, di non aver ricoperto cariche di pubblico amministratore presso il Consorzio per lo Sviluppo Industriale Isernia – Venafro o presso i comuni soci del Consorzio;</w:t>
      </w:r>
    </w:p>
    <w:p w14:paraId="3A681310" w14:textId="77777777" w:rsidR="00103435" w:rsidRPr="00103435" w:rsidRDefault="00103435" w:rsidP="00103435">
      <w:pPr>
        <w:pStyle w:val="Paragrafoelenco"/>
        <w:numPr>
          <w:ilvl w:val="2"/>
          <w:numId w:val="2"/>
        </w:numPr>
        <w:tabs>
          <w:tab w:val="left" w:pos="0"/>
        </w:tabs>
        <w:spacing w:line="360" w:lineRule="auto"/>
        <w:jc w:val="both"/>
        <w:rPr>
          <w:rFonts w:ascii="Garamond" w:hAnsi="Garamond"/>
          <w:lang w:val="it-IT"/>
        </w:rPr>
      </w:pPr>
      <w:r w:rsidRPr="00103435">
        <w:rPr>
          <w:rFonts w:ascii="Garamond" w:hAnsi="Garamond"/>
          <w:lang w:val="it-IT"/>
        </w:rPr>
        <w:t>di non aver concorso, in qualità di membri delle commissioni giudicatrici, con dolo o colpa grave accertati in sede giurisdizionale con sentenza non sospesa, all'approvazione di atti dichiarati illegittimi;</w:t>
      </w:r>
    </w:p>
    <w:p w14:paraId="45B01425" w14:textId="77777777" w:rsidR="00103435" w:rsidRPr="00103435" w:rsidRDefault="00103435" w:rsidP="00103435">
      <w:pPr>
        <w:pStyle w:val="Paragrafoelenco"/>
        <w:numPr>
          <w:ilvl w:val="2"/>
          <w:numId w:val="2"/>
        </w:numPr>
        <w:tabs>
          <w:tab w:val="left" w:pos="0"/>
        </w:tabs>
        <w:spacing w:line="360" w:lineRule="auto"/>
        <w:jc w:val="both"/>
        <w:rPr>
          <w:rFonts w:ascii="Garamond" w:hAnsi="Garamond"/>
          <w:lang w:val="it-IT"/>
        </w:rPr>
      </w:pPr>
      <w:r w:rsidRPr="00103435">
        <w:rPr>
          <w:rFonts w:ascii="Garamond" w:hAnsi="Garamond"/>
          <w:lang w:val="it-IT"/>
        </w:rPr>
        <w:t>che non ricorrono le condizioni riportate l'articolo 35-bis del decreto legislativo 30 marzo 2001, n. 165, l'articolo 51 del codice di procedura civile, nonché l'articolo 42 del D. Lgs. 50/2016;</w:t>
      </w:r>
    </w:p>
    <w:p w14:paraId="0F01A649" w14:textId="77777777" w:rsidR="00103435" w:rsidRPr="00103435" w:rsidRDefault="00103435" w:rsidP="00103435">
      <w:pPr>
        <w:pStyle w:val="Paragrafoelenco"/>
        <w:numPr>
          <w:ilvl w:val="2"/>
          <w:numId w:val="2"/>
        </w:numPr>
        <w:tabs>
          <w:tab w:val="left" w:pos="0"/>
        </w:tabs>
        <w:spacing w:line="360" w:lineRule="auto"/>
        <w:jc w:val="both"/>
        <w:rPr>
          <w:rFonts w:ascii="Garamond" w:hAnsi="Garamond"/>
          <w:lang w:val="it-IT"/>
        </w:rPr>
      </w:pPr>
      <w:r w:rsidRPr="00103435">
        <w:rPr>
          <w:rFonts w:ascii="Garamond" w:hAnsi="Garamond"/>
          <w:lang w:val="it-IT"/>
        </w:rPr>
        <w:t xml:space="preserve">di non aver riportato condanna anche non definitiva per il delitto previsto dall'articolo 416-bis del codice penale o per il delitto di associazione finalizzata al traffico illecito di sostanze stupefacenti o psicotrope di cui all'articolo 74 del testo unico approvato con decreto del Presidente della Repubblica 9 ottobre 1990, n. 309, o per un delitto di cui all'articolo 73 del citato </w:t>
      </w:r>
      <w:r w:rsidRPr="00103435">
        <w:rPr>
          <w:rFonts w:ascii="Garamond" w:hAnsi="Garamond"/>
          <w:lang w:val="it-IT"/>
        </w:rPr>
        <w:lastRenderedPageBreak/>
        <w:t xml:space="preserve">testo unico,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 </w:t>
      </w:r>
    </w:p>
    <w:p w14:paraId="4D550600" w14:textId="77777777" w:rsidR="00103435" w:rsidRPr="00103435" w:rsidRDefault="00103435" w:rsidP="00103435">
      <w:pPr>
        <w:pStyle w:val="Paragrafoelenco"/>
        <w:numPr>
          <w:ilvl w:val="2"/>
          <w:numId w:val="2"/>
        </w:numPr>
        <w:tabs>
          <w:tab w:val="left" w:pos="0"/>
        </w:tabs>
        <w:spacing w:line="360" w:lineRule="auto"/>
        <w:jc w:val="both"/>
        <w:rPr>
          <w:rFonts w:ascii="Garamond" w:hAnsi="Garamond"/>
          <w:lang w:val="it-IT"/>
        </w:rPr>
      </w:pPr>
      <w:r w:rsidRPr="00103435">
        <w:rPr>
          <w:rFonts w:ascii="Garamond" w:hAnsi="Garamond"/>
          <w:lang w:val="it-IT"/>
        </w:rPr>
        <w:t xml:space="preserve">di non aver riportato condanne anche non definitive per i delitti, consumati o tentati, previsti dall'articolo 51, commi 3-bis e 3-quater, del codice di procedura penale, diversi da quelli indicati alla lettera a); </w:t>
      </w:r>
    </w:p>
    <w:p w14:paraId="51D412C7" w14:textId="77777777" w:rsidR="00103435" w:rsidRPr="00103435" w:rsidRDefault="00103435" w:rsidP="00103435">
      <w:pPr>
        <w:pStyle w:val="Paragrafoelenco"/>
        <w:numPr>
          <w:ilvl w:val="2"/>
          <w:numId w:val="2"/>
        </w:numPr>
        <w:tabs>
          <w:tab w:val="left" w:pos="0"/>
        </w:tabs>
        <w:spacing w:line="360" w:lineRule="auto"/>
        <w:jc w:val="both"/>
        <w:rPr>
          <w:rFonts w:ascii="Garamond" w:hAnsi="Garamond"/>
          <w:lang w:val="it-IT"/>
        </w:rPr>
      </w:pPr>
      <w:r w:rsidRPr="00103435">
        <w:rPr>
          <w:rFonts w:ascii="Garamond" w:hAnsi="Garamond"/>
          <w:lang w:val="it-IT"/>
        </w:rPr>
        <w:t xml:space="preserve">di non aver riportato condanna anche non definitiva per i delitti, consumati o tentati, previsti dagli articoli 314, 316, 316-bis, 316-ter, 317, 318, 319, 319-ter, 319-quater, primo comma, 320, 321, 322, 322-bis, 323, 325, 326, 331, secondo comma, 334, 346-bis, 353 e 353- bis, 354, 355 e 356 del codice penale nonché all’articolo 2635 del codice civile; </w:t>
      </w:r>
    </w:p>
    <w:p w14:paraId="4FE141E5" w14:textId="77777777" w:rsidR="00103435" w:rsidRPr="00103435" w:rsidRDefault="00103435" w:rsidP="00103435">
      <w:pPr>
        <w:pStyle w:val="Paragrafoelenco"/>
        <w:numPr>
          <w:ilvl w:val="2"/>
          <w:numId w:val="2"/>
        </w:numPr>
        <w:tabs>
          <w:tab w:val="left" w:pos="0"/>
        </w:tabs>
        <w:spacing w:line="360" w:lineRule="auto"/>
        <w:jc w:val="both"/>
        <w:rPr>
          <w:rFonts w:ascii="Garamond" w:hAnsi="Garamond"/>
          <w:lang w:val="it-IT"/>
        </w:rPr>
      </w:pPr>
      <w:r w:rsidRPr="00103435">
        <w:rPr>
          <w:rFonts w:ascii="Garamond" w:hAnsi="Garamond"/>
          <w:lang w:val="it-IT"/>
        </w:rPr>
        <w:t xml:space="preserve">di non aver riportato condanna anche non definitiva per i delitti, consumati o tentati, di frode ai sensi dell'articolo 1 della convenzione relativa alla tutela degli interessi finanziari delle Comunità europee, delitti, consumati o tentati, commessi con finalità di terrorismo, anche internazionale, e di eversione dell'ordine costituzionale reati terroristici o reati connessi alle attività terroristiche; delitti di cui agli articoli 648-bis, 648-ter e 648-ter.1 del codice penale, riciclaggio di proventi di attività criminose o finanziamento del terrorismo, quali definiti all'articolo 1 del decreto legislativo 22 giugno 2007, n. 109 e successive modificazioni; sfruttamento del lavoro minorile e altre forme di tratta di esseri umani definite con il decreto legislativo 4 marzo 2014, n. 24; </w:t>
      </w:r>
    </w:p>
    <w:p w14:paraId="0FA9D3B9" w14:textId="77777777" w:rsidR="00103435" w:rsidRPr="00103435" w:rsidRDefault="00103435" w:rsidP="00103435">
      <w:pPr>
        <w:pStyle w:val="Paragrafoelenco"/>
        <w:numPr>
          <w:ilvl w:val="2"/>
          <w:numId w:val="2"/>
        </w:numPr>
        <w:tabs>
          <w:tab w:val="left" w:pos="0"/>
        </w:tabs>
        <w:spacing w:line="360" w:lineRule="auto"/>
        <w:jc w:val="both"/>
        <w:rPr>
          <w:rFonts w:ascii="Garamond" w:hAnsi="Garamond"/>
          <w:lang w:val="it-IT"/>
        </w:rPr>
      </w:pPr>
      <w:r w:rsidRPr="00103435">
        <w:rPr>
          <w:rFonts w:ascii="Garamond" w:hAnsi="Garamond"/>
          <w:lang w:val="it-IT"/>
        </w:rPr>
        <w:t>di non essere stato condannato con sentenza definitiva alla pena della reclusione complessivamente superiore a sei mesi per uno o più delitti commessi con abuso dei poteri o con violazione dei doveri inerenti ad una pubblica funzione o a un pubblico servizio diversi da quelli indicati alla lettera c);</w:t>
      </w:r>
    </w:p>
    <w:p w14:paraId="012C1868" w14:textId="77777777" w:rsidR="00103435" w:rsidRPr="00103435" w:rsidRDefault="00103435" w:rsidP="00103435">
      <w:pPr>
        <w:pStyle w:val="Paragrafoelenco"/>
        <w:numPr>
          <w:ilvl w:val="2"/>
          <w:numId w:val="2"/>
        </w:numPr>
        <w:tabs>
          <w:tab w:val="left" w:pos="0"/>
        </w:tabs>
        <w:spacing w:line="360" w:lineRule="auto"/>
        <w:jc w:val="both"/>
        <w:rPr>
          <w:rFonts w:ascii="Garamond" w:hAnsi="Garamond"/>
          <w:lang w:val="it-IT"/>
        </w:rPr>
      </w:pPr>
      <w:r w:rsidRPr="00103435">
        <w:rPr>
          <w:rFonts w:ascii="Garamond" w:hAnsi="Garamond"/>
          <w:lang w:val="it-IT"/>
        </w:rPr>
        <w:t xml:space="preserve">di non essere stato condannato con sentenza definitiva ad una pena non inferiore a due anni di reclusione per delitto non colposo; </w:t>
      </w:r>
    </w:p>
    <w:p w14:paraId="13B10A1A" w14:textId="77777777" w:rsidR="00103435" w:rsidRPr="00103435" w:rsidRDefault="00103435" w:rsidP="00103435">
      <w:pPr>
        <w:pStyle w:val="Paragrafoelenco"/>
        <w:numPr>
          <w:ilvl w:val="2"/>
          <w:numId w:val="2"/>
        </w:numPr>
        <w:tabs>
          <w:tab w:val="left" w:pos="0"/>
        </w:tabs>
        <w:spacing w:line="360" w:lineRule="auto"/>
        <w:jc w:val="both"/>
        <w:rPr>
          <w:rFonts w:ascii="Garamond" w:hAnsi="Garamond"/>
          <w:lang w:val="it-IT"/>
        </w:rPr>
      </w:pPr>
      <w:r w:rsidRPr="00103435">
        <w:rPr>
          <w:rFonts w:ascii="Garamond" w:hAnsi="Garamond"/>
          <w:lang w:val="it-IT"/>
        </w:rPr>
        <w:t>di non avere nei propri confronti nessun tribunale applicato, con provvedimento anche non definitivo, una misura di prevenzione, in quanto indiziati di appartenere ad una delle associazioni di cui all'articolo 4, comma 1, lettere a) e b), del decreto legislativo 6 settembre 2011, n. 159.</w:t>
      </w:r>
    </w:p>
    <w:p w14:paraId="09DD4365" w14:textId="7C0A8732" w:rsidR="00103435" w:rsidRDefault="00103435" w:rsidP="00103435">
      <w:pPr>
        <w:pStyle w:val="Paragrafoelenco"/>
        <w:numPr>
          <w:ilvl w:val="2"/>
          <w:numId w:val="2"/>
        </w:numPr>
        <w:tabs>
          <w:tab w:val="left" w:pos="0"/>
        </w:tabs>
        <w:spacing w:line="360" w:lineRule="auto"/>
        <w:jc w:val="both"/>
        <w:rPr>
          <w:rFonts w:ascii="Garamond" w:hAnsi="Garamond"/>
          <w:lang w:val="it-IT"/>
        </w:rPr>
      </w:pPr>
      <w:r w:rsidRPr="00103435">
        <w:rPr>
          <w:rFonts w:ascii="Garamond" w:hAnsi="Garamond"/>
          <w:lang w:val="it-IT"/>
        </w:rPr>
        <w:t xml:space="preserve">non avere, direttamente o indirettamente, un interesse finanziario, economico o altro interesse personale per l’affidamento in esame. Non trovarsi in alcuna delle situazioni di conflitto di interesse di cui all'articolo 7 del decreto del Presidente della Repubblica 16 aprile 2013, n. 62; che la suddetta attività non coinvolge interessi propri, ovvero di parenti, affini entro il secondo grado, </w:t>
      </w:r>
      <w:r w:rsidRPr="00103435">
        <w:rPr>
          <w:rFonts w:ascii="Garamond" w:hAnsi="Garamond"/>
          <w:lang w:val="it-IT"/>
        </w:rPr>
        <w:lastRenderedPageBreak/>
        <w:t xml:space="preserve">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w:t>
      </w:r>
    </w:p>
    <w:p w14:paraId="4F901D8D" w14:textId="02F9C2D3" w:rsidR="00103435" w:rsidRDefault="00103435" w:rsidP="00103435">
      <w:pPr>
        <w:tabs>
          <w:tab w:val="left" w:pos="0"/>
        </w:tabs>
        <w:spacing w:line="360" w:lineRule="auto"/>
        <w:jc w:val="center"/>
        <w:rPr>
          <w:rFonts w:ascii="Garamond" w:hAnsi="Garamond" w:cs="Arial"/>
          <w:noProof/>
          <w:szCs w:val="24"/>
          <w:lang w:val="it-IT"/>
        </w:rPr>
      </w:pPr>
      <w:r w:rsidRPr="00103435">
        <w:rPr>
          <w:rFonts w:ascii="Garamond" w:hAnsi="Garamond" w:cs="Arial"/>
          <w:b/>
          <w:bCs/>
          <w:noProof/>
          <w:szCs w:val="24"/>
          <w:lang w:val="it-IT"/>
        </w:rPr>
        <w:t>DICHIARA</w:t>
      </w:r>
      <w:r w:rsidRPr="00103435">
        <w:rPr>
          <w:rFonts w:ascii="Garamond" w:hAnsi="Garamond" w:cs="Arial"/>
          <w:noProof/>
          <w:szCs w:val="24"/>
          <w:lang w:val="it-IT"/>
        </w:rPr>
        <w:t xml:space="preserve"> </w:t>
      </w:r>
      <w:r>
        <w:rPr>
          <w:rFonts w:ascii="Garamond" w:hAnsi="Garamond" w:cs="Arial"/>
          <w:noProof/>
          <w:szCs w:val="24"/>
          <w:lang w:val="it-IT"/>
        </w:rPr>
        <w:t>altresì</w:t>
      </w:r>
    </w:p>
    <w:p w14:paraId="2CE6994E" w14:textId="3E2BC447" w:rsidR="00091569" w:rsidRPr="00091569" w:rsidRDefault="00091569" w:rsidP="00091569">
      <w:pPr>
        <w:pStyle w:val="Paragrafoelenco"/>
        <w:numPr>
          <w:ilvl w:val="0"/>
          <w:numId w:val="3"/>
        </w:numPr>
        <w:tabs>
          <w:tab w:val="left" w:pos="0"/>
        </w:tabs>
        <w:spacing w:line="360" w:lineRule="auto"/>
        <w:jc w:val="both"/>
        <w:rPr>
          <w:rFonts w:ascii="Garamond" w:hAnsi="Garamond"/>
          <w:lang w:val="it-IT"/>
        </w:rPr>
      </w:pPr>
      <w:r>
        <w:rPr>
          <w:rFonts w:ascii="Garamond" w:hAnsi="Garamond"/>
          <w:lang w:val="it-IT"/>
        </w:rPr>
        <w:t xml:space="preserve">di </w:t>
      </w:r>
      <w:r w:rsidRPr="00091569">
        <w:rPr>
          <w:rFonts w:ascii="Garamond" w:hAnsi="Garamond"/>
          <w:lang w:val="it-IT"/>
        </w:rPr>
        <w:t>accetta</w:t>
      </w:r>
      <w:r>
        <w:rPr>
          <w:rFonts w:ascii="Garamond" w:hAnsi="Garamond"/>
          <w:lang w:val="it-IT"/>
        </w:rPr>
        <w:t>re</w:t>
      </w:r>
      <w:r w:rsidRPr="00091569">
        <w:rPr>
          <w:rFonts w:ascii="Garamond" w:hAnsi="Garamond"/>
          <w:lang w:val="it-IT"/>
        </w:rPr>
        <w:t>, senza condizione o riserva alcuna, che:</w:t>
      </w:r>
    </w:p>
    <w:p w14:paraId="2594136A" w14:textId="77777777" w:rsidR="00091569" w:rsidRPr="00091569" w:rsidRDefault="00091569" w:rsidP="00091569">
      <w:pPr>
        <w:pStyle w:val="Paragrafoelenco"/>
        <w:numPr>
          <w:ilvl w:val="1"/>
          <w:numId w:val="3"/>
        </w:numPr>
        <w:tabs>
          <w:tab w:val="left" w:pos="0"/>
        </w:tabs>
        <w:spacing w:line="360" w:lineRule="auto"/>
        <w:jc w:val="both"/>
        <w:rPr>
          <w:rFonts w:ascii="Garamond" w:hAnsi="Garamond"/>
          <w:lang w:val="it-IT"/>
        </w:rPr>
      </w:pPr>
      <w:r w:rsidRPr="00091569">
        <w:rPr>
          <w:rFonts w:ascii="Garamond" w:hAnsi="Garamond"/>
          <w:lang w:val="it-IT"/>
        </w:rPr>
        <w:t>non sarà corrisposta alcuna anticipazione;</w:t>
      </w:r>
    </w:p>
    <w:p w14:paraId="14C9DC6F" w14:textId="7DD804C4" w:rsidR="008C2E1E" w:rsidRPr="00091569" w:rsidRDefault="008C2E1E" w:rsidP="008C2E1E">
      <w:pPr>
        <w:pStyle w:val="Paragrafoelenco"/>
        <w:numPr>
          <w:ilvl w:val="1"/>
          <w:numId w:val="3"/>
        </w:numPr>
        <w:tabs>
          <w:tab w:val="left" w:pos="0"/>
        </w:tabs>
        <w:spacing w:line="360" w:lineRule="auto"/>
        <w:jc w:val="both"/>
        <w:rPr>
          <w:rFonts w:ascii="Garamond" w:hAnsi="Garamond"/>
          <w:lang w:val="it-IT"/>
        </w:rPr>
      </w:pPr>
      <w:r>
        <w:rPr>
          <w:rFonts w:ascii="Garamond" w:hAnsi="Garamond"/>
          <w:lang w:val="it-IT"/>
        </w:rPr>
        <w:t xml:space="preserve">il compenso </w:t>
      </w:r>
      <w:r w:rsidR="00D31299">
        <w:rPr>
          <w:rFonts w:ascii="Garamond" w:hAnsi="Garamond"/>
          <w:lang w:val="it-IT"/>
        </w:rPr>
        <w:t xml:space="preserve">per ogni incarico sarà variabile tra </w:t>
      </w:r>
      <w:r w:rsidR="00D31299">
        <w:rPr>
          <w:rFonts w:ascii="Garamond" w:hAnsi="Garamond"/>
          <w:lang w:val="it-IT"/>
        </w:rPr>
        <w:t xml:space="preserve">€ 1.000,00 (euro mille/00) </w:t>
      </w:r>
      <w:r w:rsidR="00D31299">
        <w:rPr>
          <w:rFonts w:ascii="Garamond" w:hAnsi="Garamond"/>
          <w:lang w:val="it-IT"/>
        </w:rPr>
        <w:t xml:space="preserve">ed </w:t>
      </w:r>
      <w:r w:rsidR="00D31299">
        <w:rPr>
          <w:rFonts w:ascii="Garamond" w:hAnsi="Garamond"/>
          <w:lang w:val="it-IT"/>
        </w:rPr>
        <w:t xml:space="preserve">€ </w:t>
      </w:r>
      <w:r w:rsidR="00D31299">
        <w:rPr>
          <w:rFonts w:ascii="Garamond" w:hAnsi="Garamond"/>
          <w:lang w:val="it-IT"/>
        </w:rPr>
        <w:t>2</w:t>
      </w:r>
      <w:r w:rsidR="00D31299">
        <w:rPr>
          <w:rFonts w:ascii="Garamond" w:hAnsi="Garamond"/>
          <w:lang w:val="it-IT"/>
        </w:rPr>
        <w:t xml:space="preserve">.000,00 (euro </w:t>
      </w:r>
      <w:r w:rsidR="00D31299">
        <w:rPr>
          <w:rFonts w:ascii="Garamond" w:hAnsi="Garamond"/>
          <w:lang w:val="it-IT"/>
        </w:rPr>
        <w:t>duemila</w:t>
      </w:r>
      <w:r w:rsidR="00D31299">
        <w:rPr>
          <w:rFonts w:ascii="Garamond" w:hAnsi="Garamond"/>
          <w:lang w:val="it-IT"/>
        </w:rPr>
        <w:t>/00)</w:t>
      </w:r>
      <w:r w:rsidR="00D31299">
        <w:rPr>
          <w:rFonts w:ascii="Garamond" w:hAnsi="Garamond"/>
          <w:lang w:val="it-IT"/>
        </w:rPr>
        <w:t>,</w:t>
      </w:r>
      <w:r w:rsidR="00D31299">
        <w:rPr>
          <w:rFonts w:ascii="Garamond" w:hAnsi="Garamond"/>
          <w:lang w:val="it-IT"/>
        </w:rPr>
        <w:t xml:space="preserve"> oltre IVA (oneri previdenziali inclusi).</w:t>
      </w:r>
    </w:p>
    <w:p w14:paraId="1F1A45D9" w14:textId="633BE131" w:rsidR="008C2E1E" w:rsidRPr="00091569" w:rsidRDefault="008C2E1E" w:rsidP="008C2E1E">
      <w:pPr>
        <w:pStyle w:val="Paragrafoelenco"/>
        <w:numPr>
          <w:ilvl w:val="1"/>
          <w:numId w:val="3"/>
        </w:numPr>
        <w:tabs>
          <w:tab w:val="left" w:pos="0"/>
        </w:tabs>
        <w:spacing w:line="360" w:lineRule="auto"/>
        <w:jc w:val="both"/>
        <w:rPr>
          <w:rFonts w:ascii="Garamond" w:hAnsi="Garamond"/>
          <w:lang w:val="it-IT"/>
        </w:rPr>
      </w:pPr>
      <w:r w:rsidRPr="00091569">
        <w:rPr>
          <w:rFonts w:ascii="Garamond" w:hAnsi="Garamond"/>
          <w:lang w:val="it-IT"/>
        </w:rPr>
        <w:t xml:space="preserve">in caso di mancata concessione definitiva del finanziamento, </w:t>
      </w:r>
      <w:r>
        <w:rPr>
          <w:rFonts w:ascii="Garamond" w:hAnsi="Garamond"/>
          <w:lang w:val="it-IT"/>
        </w:rPr>
        <w:t xml:space="preserve">invece, </w:t>
      </w:r>
      <w:r w:rsidRPr="00091569">
        <w:rPr>
          <w:rFonts w:ascii="Garamond" w:hAnsi="Garamond"/>
          <w:lang w:val="it-IT"/>
        </w:rPr>
        <w:t xml:space="preserve">verrà corrisposto solamente un rimborso forfettario stabilito </w:t>
      </w:r>
      <w:r>
        <w:rPr>
          <w:rFonts w:ascii="Garamond" w:hAnsi="Garamond"/>
          <w:lang w:val="it-IT"/>
        </w:rPr>
        <w:t>in € 1.000,00 (euro mille/00)</w:t>
      </w:r>
      <w:r w:rsidR="00D31299">
        <w:rPr>
          <w:rFonts w:ascii="Garamond" w:hAnsi="Garamond"/>
          <w:lang w:val="it-IT"/>
        </w:rPr>
        <w:t>,</w:t>
      </w:r>
      <w:r>
        <w:rPr>
          <w:rFonts w:ascii="Garamond" w:hAnsi="Garamond"/>
          <w:lang w:val="it-IT"/>
        </w:rPr>
        <w:t xml:space="preserve"> oltre IVA (oneri previdenziali inclusi)</w:t>
      </w:r>
      <w:r>
        <w:rPr>
          <w:rFonts w:ascii="Garamond" w:hAnsi="Garamond"/>
          <w:lang w:val="it-IT"/>
        </w:rPr>
        <w:t>.</w:t>
      </w:r>
    </w:p>
    <w:p w14:paraId="0555EA3A" w14:textId="1EA9A024" w:rsidR="00D6098B" w:rsidRPr="00103435" w:rsidRDefault="00643B4D" w:rsidP="00103435">
      <w:pPr>
        <w:tabs>
          <w:tab w:val="left" w:pos="2600"/>
        </w:tabs>
        <w:spacing w:after="200" w:line="360" w:lineRule="auto"/>
        <w:jc w:val="both"/>
        <w:rPr>
          <w:rFonts w:ascii="Garamond" w:hAnsi="Garamond" w:cstheme="minorHAnsi"/>
          <w:noProof/>
          <w:szCs w:val="24"/>
          <w:lang w:val="it-IT"/>
        </w:rPr>
      </w:pPr>
      <w:r>
        <w:rPr>
          <w:rFonts w:ascii="Garamond" w:hAnsi="Garamond" w:cs="Arial"/>
          <w:noProof/>
          <w:szCs w:val="24"/>
          <w:lang w:val="it-IT"/>
        </w:rPr>
        <w:t>Luogo e data __________________</w:t>
      </w:r>
      <w:r w:rsidR="00D6098B" w:rsidRPr="00103435">
        <w:rPr>
          <w:rFonts w:ascii="Garamond" w:hAnsi="Garamond" w:cs="Arial"/>
          <w:szCs w:val="24"/>
          <w:lang w:val="it-IT"/>
        </w:rPr>
        <w:t xml:space="preserve"> </w:t>
      </w:r>
    </w:p>
    <w:p w14:paraId="36D62E99" w14:textId="31E7D07A" w:rsidR="00495EBD" w:rsidRPr="00103435" w:rsidRDefault="00103435" w:rsidP="00103435">
      <w:pPr>
        <w:spacing w:line="360" w:lineRule="auto"/>
        <w:jc w:val="right"/>
        <w:rPr>
          <w:rFonts w:ascii="Garamond" w:hAnsi="Garamond" w:cs="Arial"/>
          <w:b/>
          <w:noProof/>
          <w:szCs w:val="24"/>
          <w:lang w:val="it-IT"/>
        </w:rPr>
      </w:pPr>
      <w:r w:rsidRPr="00103435">
        <w:rPr>
          <w:rFonts w:ascii="Garamond" w:hAnsi="Garamond" w:cs="Arial"/>
          <w:b/>
          <w:noProof/>
          <w:szCs w:val="24"/>
          <w:lang w:val="it-IT"/>
        </w:rPr>
        <w:t>Il professionista</w:t>
      </w:r>
    </w:p>
    <w:p w14:paraId="51C6873C" w14:textId="75CC11B5" w:rsidR="00495EBD" w:rsidRDefault="00643B4D" w:rsidP="00103435">
      <w:pPr>
        <w:spacing w:line="360" w:lineRule="auto"/>
        <w:jc w:val="right"/>
        <w:rPr>
          <w:rFonts w:ascii="Garamond" w:hAnsi="Garamond" w:cs="Arial"/>
          <w:noProof/>
          <w:szCs w:val="24"/>
          <w:lang w:val="it-IT"/>
        </w:rPr>
      </w:pPr>
      <w:r>
        <w:rPr>
          <w:rFonts w:ascii="Garamond" w:hAnsi="Garamond" w:cs="Arial"/>
          <w:noProof/>
          <w:szCs w:val="24"/>
          <w:lang w:val="it-IT"/>
        </w:rPr>
        <w:t>____________________</w:t>
      </w:r>
    </w:p>
    <w:p w14:paraId="314392C4" w14:textId="4491CB75" w:rsidR="00103435" w:rsidRDefault="00103435" w:rsidP="00103435">
      <w:pPr>
        <w:spacing w:line="360" w:lineRule="auto"/>
        <w:jc w:val="right"/>
        <w:rPr>
          <w:rFonts w:ascii="Garamond" w:hAnsi="Garamond" w:cs="Arial"/>
          <w:noProof/>
          <w:szCs w:val="24"/>
          <w:lang w:val="it-IT"/>
        </w:rPr>
      </w:pPr>
      <w:r>
        <w:rPr>
          <w:rFonts w:ascii="Garamond" w:hAnsi="Garamond" w:cs="Arial"/>
          <w:noProof/>
          <w:szCs w:val="24"/>
          <w:lang w:val="it-IT"/>
        </w:rPr>
        <w:t>documento firmato digitalmente</w:t>
      </w:r>
    </w:p>
    <w:p w14:paraId="28372CCF" w14:textId="67BECADA" w:rsidR="004157F5" w:rsidRDefault="004157F5" w:rsidP="00103435">
      <w:pPr>
        <w:spacing w:line="360" w:lineRule="auto"/>
        <w:jc w:val="right"/>
        <w:rPr>
          <w:rFonts w:ascii="Garamond" w:hAnsi="Garamond" w:cs="Arial"/>
          <w:noProof/>
          <w:szCs w:val="24"/>
          <w:lang w:val="it-IT"/>
        </w:rPr>
      </w:pPr>
    </w:p>
    <w:p w14:paraId="45719158" w14:textId="38BC8BCB" w:rsidR="004157F5" w:rsidRDefault="004157F5" w:rsidP="004157F5">
      <w:pPr>
        <w:tabs>
          <w:tab w:val="left" w:pos="0"/>
        </w:tabs>
        <w:spacing w:line="360" w:lineRule="auto"/>
        <w:jc w:val="both"/>
        <w:rPr>
          <w:rFonts w:ascii="Garamond" w:hAnsi="Garamond"/>
          <w:lang w:val="it-IT"/>
        </w:rPr>
      </w:pPr>
      <w:r>
        <w:rPr>
          <w:rFonts w:ascii="Garamond" w:hAnsi="Garamond"/>
          <w:lang w:val="it-IT"/>
        </w:rPr>
        <w:t>Si allega documento di riconoscimento e documentazione a comprova dei servizi svolti.</w:t>
      </w:r>
    </w:p>
    <w:p w14:paraId="1D78FC3E" w14:textId="77777777" w:rsidR="004157F5" w:rsidRPr="00103435" w:rsidRDefault="004157F5" w:rsidP="00103435">
      <w:pPr>
        <w:spacing w:line="360" w:lineRule="auto"/>
        <w:jc w:val="right"/>
        <w:rPr>
          <w:rFonts w:ascii="Garamond" w:hAnsi="Garamond"/>
          <w:noProof/>
          <w:szCs w:val="24"/>
          <w:lang w:val="it-IT"/>
        </w:rPr>
      </w:pPr>
    </w:p>
    <w:sectPr w:rsidR="004157F5" w:rsidRPr="00103435">
      <w:pgSz w:w="12240" w:h="15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0EA6"/>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4C7F5B"/>
    <w:multiLevelType w:val="hybridMultilevel"/>
    <w:tmpl w:val="33A6E6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2B30577"/>
    <w:multiLevelType w:val="hybridMultilevel"/>
    <w:tmpl w:val="99C811D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102116E"/>
    <w:multiLevelType w:val="hybridMultilevel"/>
    <w:tmpl w:val="BA6EB3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B82A34"/>
    <w:multiLevelType w:val="hybridMultilevel"/>
    <w:tmpl w:val="9BF47B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06"/>
    <w:rsid w:val="00073C3F"/>
    <w:rsid w:val="00091569"/>
    <w:rsid w:val="00093CF3"/>
    <w:rsid w:val="000C22D9"/>
    <w:rsid w:val="000D46B5"/>
    <w:rsid w:val="000F2BEF"/>
    <w:rsid w:val="00103435"/>
    <w:rsid w:val="00122456"/>
    <w:rsid w:val="001639E9"/>
    <w:rsid w:val="001D1B69"/>
    <w:rsid w:val="001E0FAD"/>
    <w:rsid w:val="001F6FB1"/>
    <w:rsid w:val="00242F87"/>
    <w:rsid w:val="00263CE5"/>
    <w:rsid w:val="002826C6"/>
    <w:rsid w:val="002C0635"/>
    <w:rsid w:val="002F1C11"/>
    <w:rsid w:val="002F5E09"/>
    <w:rsid w:val="002F7395"/>
    <w:rsid w:val="002F7DFA"/>
    <w:rsid w:val="003344B4"/>
    <w:rsid w:val="00335994"/>
    <w:rsid w:val="003371E1"/>
    <w:rsid w:val="003525FF"/>
    <w:rsid w:val="003B5F5B"/>
    <w:rsid w:val="003F73AF"/>
    <w:rsid w:val="004157F5"/>
    <w:rsid w:val="004276FF"/>
    <w:rsid w:val="00436EEB"/>
    <w:rsid w:val="0044139A"/>
    <w:rsid w:val="00495EBD"/>
    <w:rsid w:val="004B73B0"/>
    <w:rsid w:val="00501AA6"/>
    <w:rsid w:val="0050535C"/>
    <w:rsid w:val="00513706"/>
    <w:rsid w:val="00545568"/>
    <w:rsid w:val="005847AD"/>
    <w:rsid w:val="005A47AA"/>
    <w:rsid w:val="006124E5"/>
    <w:rsid w:val="00624B72"/>
    <w:rsid w:val="00637087"/>
    <w:rsid w:val="00643B4D"/>
    <w:rsid w:val="00684F1F"/>
    <w:rsid w:val="00685A2A"/>
    <w:rsid w:val="006B7BE8"/>
    <w:rsid w:val="006C1CB0"/>
    <w:rsid w:val="006D742B"/>
    <w:rsid w:val="006F58FD"/>
    <w:rsid w:val="00721C4B"/>
    <w:rsid w:val="007302E9"/>
    <w:rsid w:val="0074303D"/>
    <w:rsid w:val="0079745E"/>
    <w:rsid w:val="007B42BD"/>
    <w:rsid w:val="007D0B31"/>
    <w:rsid w:val="007E34FA"/>
    <w:rsid w:val="00862A38"/>
    <w:rsid w:val="00893B96"/>
    <w:rsid w:val="008C2E1E"/>
    <w:rsid w:val="008F22D1"/>
    <w:rsid w:val="00983061"/>
    <w:rsid w:val="009C695B"/>
    <w:rsid w:val="009F4539"/>
    <w:rsid w:val="00A14F93"/>
    <w:rsid w:val="00A244F8"/>
    <w:rsid w:val="00A3530B"/>
    <w:rsid w:val="00A41F1D"/>
    <w:rsid w:val="00A5497E"/>
    <w:rsid w:val="00A64E33"/>
    <w:rsid w:val="00A8451E"/>
    <w:rsid w:val="00AE0E08"/>
    <w:rsid w:val="00AF462C"/>
    <w:rsid w:val="00B046E2"/>
    <w:rsid w:val="00B34112"/>
    <w:rsid w:val="00B91203"/>
    <w:rsid w:val="00BA08C0"/>
    <w:rsid w:val="00BC186D"/>
    <w:rsid w:val="00BD1BE8"/>
    <w:rsid w:val="00BE0779"/>
    <w:rsid w:val="00C010F1"/>
    <w:rsid w:val="00C30AE5"/>
    <w:rsid w:val="00C322A8"/>
    <w:rsid w:val="00C37BC3"/>
    <w:rsid w:val="00C957FC"/>
    <w:rsid w:val="00D31299"/>
    <w:rsid w:val="00D41332"/>
    <w:rsid w:val="00D56EA7"/>
    <w:rsid w:val="00D6098B"/>
    <w:rsid w:val="00E01A20"/>
    <w:rsid w:val="00E148B0"/>
    <w:rsid w:val="00E60943"/>
    <w:rsid w:val="00E80EA9"/>
    <w:rsid w:val="00E906B9"/>
    <w:rsid w:val="00E909EC"/>
    <w:rsid w:val="00E9475B"/>
    <w:rsid w:val="00E9587B"/>
    <w:rsid w:val="00EB66BD"/>
    <w:rsid w:val="00ED6B56"/>
    <w:rsid w:val="00EE4E84"/>
    <w:rsid w:val="00EF65C4"/>
    <w:rsid w:val="00F016C7"/>
    <w:rsid w:val="00F1428D"/>
    <w:rsid w:val="00F432DA"/>
    <w:rsid w:val="00F44448"/>
    <w:rsid w:val="00F7285A"/>
    <w:rsid w:val="00FF63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11E8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Helvetica" w:hAnsi="Helvetic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rPr>
      <w:sz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513706"/>
    <w:rPr>
      <w:color w:val="0000FF"/>
      <w:u w:val="single"/>
    </w:rPr>
  </w:style>
  <w:style w:type="table" w:styleId="Grigliatabella">
    <w:name w:val="Table Grid"/>
    <w:basedOn w:val="Tabellanormale"/>
    <w:uiPriority w:val="59"/>
    <w:rsid w:val="00A244F8"/>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530B"/>
    <w:pPr>
      <w:ind w:left="720"/>
      <w:contextualSpacing/>
    </w:pPr>
    <w:rPr>
      <w:szCs w:val="24"/>
    </w:rPr>
  </w:style>
  <w:style w:type="paragraph" w:styleId="Testofumetto">
    <w:name w:val="Balloon Text"/>
    <w:basedOn w:val="Normale"/>
    <w:link w:val="TestofumettoCarattere"/>
    <w:uiPriority w:val="99"/>
    <w:semiHidden/>
    <w:unhideWhenUsed/>
    <w:rsid w:val="002F7DFA"/>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sid w:val="002F7DFA"/>
    <w:rPr>
      <w:rFonts w:ascii="Times New Roman" w:hAnsi="Times New Roman"/>
      <w:sz w:val="18"/>
      <w:szCs w:val="18"/>
      <w:lang w:val="en-US"/>
    </w:rPr>
  </w:style>
  <w:style w:type="character" w:styleId="Menzionenonrisolta">
    <w:name w:val="Unresolved Mention"/>
    <w:basedOn w:val="Carpredefinitoparagrafo"/>
    <w:uiPriority w:val="99"/>
    <w:rsid w:val="0061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03503">
      <w:bodyDiv w:val="1"/>
      <w:marLeft w:val="0"/>
      <w:marRight w:val="0"/>
      <w:marTop w:val="0"/>
      <w:marBottom w:val="0"/>
      <w:divBdr>
        <w:top w:val="none" w:sz="0" w:space="0" w:color="auto"/>
        <w:left w:val="none" w:sz="0" w:space="0" w:color="auto"/>
        <w:bottom w:val="none" w:sz="0" w:space="0" w:color="auto"/>
        <w:right w:val="none" w:sz="0" w:space="0" w:color="auto"/>
      </w:divBdr>
    </w:div>
    <w:div w:id="1551385395">
      <w:bodyDiv w:val="1"/>
      <w:marLeft w:val="0"/>
      <w:marRight w:val="0"/>
      <w:marTop w:val="0"/>
      <w:marBottom w:val="0"/>
      <w:divBdr>
        <w:top w:val="none" w:sz="0" w:space="0" w:color="auto"/>
        <w:left w:val="none" w:sz="0" w:space="0" w:color="auto"/>
        <w:bottom w:val="none" w:sz="0" w:space="0" w:color="auto"/>
        <w:right w:val="none" w:sz="0" w:space="0" w:color="auto"/>
      </w:divBdr>
    </w:div>
    <w:div w:id="1737556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6969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Lì 16</vt:lpstr>
    </vt:vector>
  </TitlesOfParts>
  <Company> </Company>
  <LinksUpToDate>false</LinksUpToDate>
  <CharactersWithSpaces>8175</CharactersWithSpaces>
  <SharedDoc>false</SharedDoc>
  <HLinks>
    <vt:vector size="12" baseType="variant">
      <vt:variant>
        <vt:i4>6946824</vt:i4>
      </vt:variant>
      <vt:variant>
        <vt:i4>3</vt:i4>
      </vt:variant>
      <vt:variant>
        <vt:i4>0</vt:i4>
      </vt:variant>
      <vt:variant>
        <vt:i4>5</vt:i4>
      </vt:variant>
      <vt:variant>
        <vt:lpwstr>mailto:sua.montidauni@pec.it</vt:lpwstr>
      </vt:variant>
      <vt:variant>
        <vt:lpwstr/>
      </vt:variant>
      <vt:variant>
        <vt:i4>4325414</vt:i4>
      </vt:variant>
      <vt:variant>
        <vt:i4>0</vt:i4>
      </vt:variant>
      <vt:variant>
        <vt:i4>0</vt:i4>
      </vt:variant>
      <vt:variant>
        <vt:i4>5</vt:i4>
      </vt:variant>
      <vt:variant>
        <vt:lpwstr>http://suamontiduani.legsolution.net/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 16</dc:title>
  <dc:subject/>
  <dc:creator>Utente6</dc:creator>
  <cp:keywords/>
  <cp:lastModifiedBy>Riccardo Ricamato</cp:lastModifiedBy>
  <cp:revision>12</cp:revision>
  <dcterms:created xsi:type="dcterms:W3CDTF">2021-03-22T12:51:00Z</dcterms:created>
  <dcterms:modified xsi:type="dcterms:W3CDTF">2022-03-11T09:40:00Z</dcterms:modified>
</cp:coreProperties>
</file>